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F3" w:rsidRDefault="006649F3" w:rsidP="006649F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Вымолова Л.Б., Хоменко И.А.</w:t>
      </w:r>
    </w:p>
    <w:p w:rsidR="006649F3" w:rsidRDefault="006649F3" w:rsidP="006649F3">
      <w:pPr>
        <w:rPr>
          <w:i/>
          <w:sz w:val="28"/>
          <w:szCs w:val="28"/>
        </w:rPr>
      </w:pPr>
    </w:p>
    <w:p w:rsidR="006649F3" w:rsidRDefault="008A43D8" w:rsidP="006649F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</w:t>
      </w:r>
      <w:r w:rsidR="00930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ОБРАЗОВАТЕЛЬНОЙ ПРОГРАММЫ ПО ФОРМИРОВАНИЮ</w:t>
      </w:r>
      <w:r w:rsidR="006649F3">
        <w:rPr>
          <w:sz w:val="28"/>
          <w:szCs w:val="28"/>
        </w:rPr>
        <w:t xml:space="preserve"> ПЕДАГОГИЧЕСКОЙ ГОТОВНОСТИ РОДИТЕЛЕЙ К ОБУЧЕНИЮ ИХ РЕБЕНКА В ШКОЛЕ.</w:t>
      </w:r>
    </w:p>
    <w:p w:rsidR="006649F3" w:rsidRDefault="006649F3" w:rsidP="006649F3"/>
    <w:p w:rsidR="006649F3" w:rsidRDefault="006649F3" w:rsidP="006649F3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В современной  науке широко изучается готовность к школе ребенка, этому посвящено много исследований. Например, работы Айзмана Р.И., Венгера Л.А., Волкова Б.С., Гуткиной Н.И., Эльконина Д.Б. и др. Однако мы считаем, что сегодня нужно говорить о готовности семьи к началу регулярной образовательной деятельности ребенка. В таком контексте проектирование программы по подготовке родителей к обучению их детей к школе приобретает особое значение. Неготовность родителей к обучению их детей к школе является, на наш взгляд, более серьезным фактором в обучении, чем неготовность самих детей, так как все усилия педагогов могут сойти на нет, из-за отсутствия поддержки семьи, либо неадекватных установок родителей. Специальных исследований, посвященных подготовке родителей, недостаточно. Это и обусловило выбор темы нашего исследования: </w:t>
      </w:r>
      <w:r>
        <w:rPr>
          <w:rStyle w:val="a3"/>
          <w:color w:val="auto"/>
          <w:sz w:val="28"/>
          <w:szCs w:val="28"/>
          <w:u w:val="none"/>
        </w:rPr>
        <w:t xml:space="preserve">«Формирование педагогической готовности родителей к обучению их ребенка в школе».  </w:t>
      </w:r>
    </w:p>
    <w:p w:rsidR="006649F3" w:rsidRDefault="006649F3" w:rsidP="006649F3">
      <w:pPr>
        <w:ind w:firstLine="709"/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процесс подготовки ребёнка к школе.</w:t>
      </w:r>
    </w:p>
    <w:p w:rsidR="006649F3" w:rsidRDefault="006649F3" w:rsidP="006649F3">
      <w:pPr>
        <w:ind w:firstLine="709"/>
        <w:jc w:val="both"/>
        <w:rPr>
          <w:rStyle w:val="a3"/>
          <w:color w:val="auto"/>
          <w:u w:val="none"/>
        </w:rPr>
      </w:pPr>
      <w:r>
        <w:rPr>
          <w:b/>
          <w:sz w:val="28"/>
          <w:szCs w:val="28"/>
        </w:rPr>
        <w:t>Предмет исследования:</w:t>
      </w:r>
      <w:r>
        <w:rPr>
          <w:rStyle w:val="a3"/>
          <w:color w:val="auto"/>
          <w:sz w:val="28"/>
          <w:szCs w:val="28"/>
          <w:u w:val="none"/>
        </w:rPr>
        <w:t xml:space="preserve"> условия формирования педагогической готовности родителей к обучению их ребенка в школе.</w:t>
      </w:r>
    </w:p>
    <w:p w:rsidR="006649F3" w:rsidRDefault="006649F3" w:rsidP="006649F3">
      <w:pPr>
        <w:ind w:firstLine="709"/>
        <w:jc w:val="both"/>
      </w:pPr>
      <w:r>
        <w:rPr>
          <w:b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разработать программу формирования педагогической готовности родителей к обучению их ребенка к школе и апробировать её на практике.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Гипотеза исследования</w:t>
      </w:r>
      <w:r>
        <w:rPr>
          <w:sz w:val="28"/>
          <w:szCs w:val="28"/>
        </w:rPr>
        <w:t xml:space="preserve">: процесс педагогической подготовки родителей к обучению их детей в школе будет осуществляться более эффективно при следующих условиях: 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будет определен уровень педагогической готовности родителей к обучению их детей в школе;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педагоги образовательного учреждения будут учитывать проблемы, возникающие у детей и их родителей в процессе образовательной деятельности ребенка;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подготовка родителей будет осуществляться по специальной программе.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Теоретико-методологическую основу</w:t>
      </w:r>
      <w:r>
        <w:rPr>
          <w:sz w:val="28"/>
          <w:szCs w:val="28"/>
        </w:rPr>
        <w:t xml:space="preserve"> исследования составили научные работы, изучающие процесс подготовки ребёнка к школе и роль семьи в образовании и развитии ребёнка. Это работы Айзман Р.И., Венгера Л.А., Волкова Б.С., Гуткиной Н.И., Жаровой Г.Н., Каменской В.Г., Марцинковской Т.Д., Эльконина Д.Б. и других по подготовке ребенка к школе. А также работы Гаспаряна Ю.Л.,  Зверевой О.Л.,  Лунькова А.И., Фримена Д., Хоменко И.А., Целуйко В.М. и других по вопросам влияния родителей на образование детей.</w:t>
      </w:r>
    </w:p>
    <w:p w:rsidR="006649F3" w:rsidRDefault="006649F3" w:rsidP="006649F3">
      <w:pPr>
        <w:tabs>
          <w:tab w:val="left" w:pos="720"/>
          <w:tab w:val="center" w:pos="467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Основным понятием в работе является термин «готовность» и его взаимосвязь с таким понятием как готовность к школьному обучению. </w:t>
      </w:r>
      <w:r>
        <w:rPr>
          <w:sz w:val="28"/>
          <w:szCs w:val="28"/>
        </w:rPr>
        <w:t xml:space="preserve">В научной литературе одним из показателей развития и становления личности, который определяется как свойство личности и носит многоплановый, динамический характер, является готовность. </w:t>
      </w:r>
      <w:r>
        <w:rPr>
          <w:color w:val="000000"/>
          <w:sz w:val="28"/>
          <w:szCs w:val="28"/>
        </w:rPr>
        <w:t>Понятие готовности неоднозначно.</w:t>
      </w:r>
      <w:r>
        <w:rPr>
          <w:color w:val="000000"/>
          <w:sz w:val="28"/>
          <w:szCs w:val="28"/>
        </w:rPr>
        <w:tab/>
        <w:t xml:space="preserve"> В научной литературе понятие «готовность» определяется как: наличие способности (Б.Г. Ананьев, С.Л. Рубинштейн), как качество личности (К.К.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Платонов), как временное ситуативное состояние (А.Ц.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Пуни, П.А.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Рудик), как психическое состояние (Н.Д.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Левитов), как отношение (А.В.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Веденов, Г.Г.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Кравцов, Е.Е.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Кравцова), как сложное интегральное качество личности (В.И.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Ширинскнй), как состояние или свойство готового (В.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Даль).</w:t>
      </w:r>
    </w:p>
    <w:p w:rsidR="006649F3" w:rsidRDefault="006649F3" w:rsidP="006649F3">
      <w:pPr>
        <w:tabs>
          <w:tab w:val="left" w:pos="720"/>
          <w:tab w:val="center" w:pos="467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психолого-педагогической литературе чаще встречаются два подхода к пониманию сущности понятия «готовность». Первый предполагает оценку состояния готовности как </w:t>
      </w:r>
      <w:r>
        <w:rPr>
          <w:i/>
          <w:iCs/>
          <w:color w:val="000000"/>
          <w:sz w:val="28"/>
          <w:szCs w:val="28"/>
        </w:rPr>
        <w:t xml:space="preserve">определенного функционального состояния </w:t>
      </w:r>
      <w:r>
        <w:rPr>
          <w:color w:val="000000"/>
          <w:sz w:val="28"/>
          <w:szCs w:val="28"/>
        </w:rPr>
        <w:t>(Н.В.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Запорожец, Е.П.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Ильин, Н.Д. Левитов, В.С. Нерсесян, А.В. Петровский, А.И. Щербаков и др.). </w:t>
      </w:r>
    </w:p>
    <w:p w:rsidR="006649F3" w:rsidRDefault="006649F3" w:rsidP="006649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Сторонники другого подхода интерпретируют готовность как </w:t>
      </w:r>
      <w:r>
        <w:rPr>
          <w:i/>
          <w:iCs/>
          <w:color w:val="000000"/>
          <w:sz w:val="28"/>
          <w:szCs w:val="28"/>
        </w:rPr>
        <w:t xml:space="preserve">подготовленность к деятельности. </w:t>
      </w:r>
      <w:r>
        <w:rPr>
          <w:color w:val="000000"/>
          <w:sz w:val="28"/>
          <w:szCs w:val="28"/>
        </w:rPr>
        <w:t>(М.И. Дьяченко, Л.А. Кандыбович, В.А. Крутецкий, И.С. Марьенко, А.Ц. Пуни, В.И. Соколов и др.).</w:t>
      </w:r>
    </w:p>
    <w:p w:rsidR="006649F3" w:rsidRDefault="006649F3" w:rsidP="006649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М.И. Дьяченко, Л.А. Кандыбович,  В.А. Крутецкий  и  другие  исследователи под подготовленностью понимают устойчивую характеристику личности в деятельности, целостный комплекс,  включающий  в  себя  мотивационные,  интеллектуальные, эмоциональные и другие переменные, адекватные требованиям содержания и условий деятельности </w:t>
      </w:r>
      <w:r>
        <w:rPr>
          <w:color w:val="000000"/>
          <w:sz w:val="28"/>
          <w:szCs w:val="28"/>
        </w:rPr>
        <w:t>[1].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проблемы родителей, педагогов и детей на этапе поступления ребенка в школу, И.А. Хоменко определила 4 составляющие готовности родителей к обучению их детей в школе:</w:t>
      </w:r>
    </w:p>
    <w:p w:rsidR="006649F3" w:rsidRDefault="006649F3" w:rsidP="006649F3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Психологическую</w:t>
      </w:r>
    </w:p>
    <w:p w:rsidR="006649F3" w:rsidRDefault="006649F3" w:rsidP="006649F3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Материальную</w:t>
      </w:r>
    </w:p>
    <w:p w:rsidR="006649F3" w:rsidRDefault="006649F3" w:rsidP="006649F3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Социально-юридическую</w:t>
      </w:r>
    </w:p>
    <w:p w:rsidR="006649F3" w:rsidRDefault="006649F3" w:rsidP="006649F3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педагогическую готовность родителей </w:t>
      </w:r>
      <w:r>
        <w:rPr>
          <w:color w:val="000000"/>
          <w:sz w:val="28"/>
          <w:szCs w:val="28"/>
        </w:rPr>
        <w:t>[3].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исследовании педагогическую готовность родителей к обучению их ребенка в школе мы отождествляем с готовностью личности к деятельности. 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подход определяет результативность деятельности по совокупному набору компетенций.</w:t>
      </w:r>
    </w:p>
    <w:p w:rsidR="006649F3" w:rsidRDefault="006649F3" w:rsidP="006649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электронном словаре по экономике и финансам понятие «Компетенция» трактуется как</w:t>
      </w:r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единство знаний, профессионального опыта, способностей действовать и навыков поведения индивида, определяемых целью, заданностью ситуации и должностью [2].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Т.О.,</w:t>
      </w:r>
      <w:r>
        <w:rPr>
          <w:b/>
          <w:i/>
          <w:sz w:val="28"/>
          <w:szCs w:val="28"/>
        </w:rPr>
        <w:t xml:space="preserve"> под готовностью родителей к обучению их детей в школе</w:t>
      </w:r>
      <w:r>
        <w:rPr>
          <w:sz w:val="28"/>
          <w:szCs w:val="28"/>
        </w:rPr>
        <w:t xml:space="preserve"> мы понимаем совокупность компетенций родителей по проектированию и реализации образовательного маршрута ребенка без ущерба для его развития.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теоретических источников позволил нам сформулировать рабочее определение понятия «Педагогическая готовность родителей».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Педагогическая готовность родителей к обучению их ребенка в школе</w:t>
      </w:r>
      <w:r>
        <w:rPr>
          <w:sz w:val="28"/>
          <w:szCs w:val="28"/>
        </w:rPr>
        <w:t xml:space="preserve"> - это   совокупность компетенций родителя для осуществления деятельности по педагогическому сопровождению ребенка в образовательном процессе.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</w:rPr>
        <w:t>С целью определения ресурсной базы современной педагогической практики по подготовке родителей к обучению их детей к школе нами было проанализировано  более 40 книг, ориентированных на подготовку детей к школе.</w:t>
      </w:r>
    </w:p>
    <w:p w:rsidR="006649F3" w:rsidRDefault="006649F3" w:rsidP="006649F3">
      <w:pPr>
        <w:ind w:right="-1" w:firstLine="567"/>
        <w:jc w:val="both"/>
        <w:rPr>
          <w:sz w:val="28"/>
        </w:rPr>
      </w:pPr>
      <w:r>
        <w:rPr>
          <w:sz w:val="28"/>
        </w:rPr>
        <w:t>Анализ психолого-педагогической литературы показал, что чаще всего в пособиях предлагается развивать психологические процессы, такие память, воображение, мышление и др. Меньше затрагиваются вопросы социализации, мотивационной готовности.</w:t>
      </w:r>
    </w:p>
    <w:p w:rsidR="006649F3" w:rsidRDefault="006649F3" w:rsidP="006649F3">
      <w:pPr>
        <w:ind w:right="-1" w:firstLine="567"/>
        <w:jc w:val="both"/>
        <w:rPr>
          <w:sz w:val="28"/>
        </w:rPr>
      </w:pPr>
      <w:r>
        <w:rPr>
          <w:sz w:val="28"/>
        </w:rPr>
        <w:t>В качестве основных способов подготовки ребенка к школе авторы предлагают развивающие игры, разнообразные упражнения на отработку умений.</w:t>
      </w:r>
    </w:p>
    <w:p w:rsidR="006649F3" w:rsidRDefault="006649F3" w:rsidP="006649F3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Анализ методик, предложенных в книгах, ориентированных на подготовку детей к школе, показал, что ни в одной из них не затрагивается исследование родителей как субъектов подготовки ребенка к школьному обучению. В лучшем случае им предлагается самостоятельно «продиагностировать» ребенка, в то время как личность самих родителей </w:t>
      </w:r>
      <w:r>
        <w:rPr>
          <w:sz w:val="28"/>
          <w:szCs w:val="28"/>
        </w:rPr>
        <w:t xml:space="preserve">оказывается малоисследованной. </w:t>
      </w:r>
    </w:p>
    <w:p w:rsidR="006649F3" w:rsidRDefault="006649F3" w:rsidP="006649F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мы провели дистанционное интервью 16 образовательных учреждений (детские сады-школы и начальные школы-детские сады) разных районов города Санкт-Петербурга, с целью узнать, ведется ли в образовательных учреждениях данного типа, подготовка родителей к обучению их детей в школе. Оказалось, что из 16 районов в 4-х работа по подготовке родителей к обучению их ребенка в школе не осуществляется вообще. В 10-ти – целенаправленной работы нет. В основном психолог или другой специалист (педагог, логопед) проводит частные консультации. Лишь в 2-х учреждениях (Кронштадтском и Центральном районах) осуществляется целенаправленная психолого-педагогическая работа по подготовке родителей к обучению их ребенка в школе. Специалисты 1 раз в месяц проводят семинары. Например: «Ваш ребенок будущий первоклассник»; «Какую школу выбрать»; «Режим дня в школе»; «Как относится к отметкам в школе» и др. А также проводят консультации и устные журналы по проблемам готовности к школе.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проблем, возникающих у родителей в процессе подготовки их детей к обучению в школе, нами было проведено исследование часто обсуждаемых проблем Интернет-форумов с разных родительских сайтов. Часто затрагиваемые проблемы: выбор школы (статус учебного заведения, месторасположение и др.); платное или бесплатное образование; водить ли ребенка на подготовительные курсы или нет… и др.</w:t>
      </w:r>
    </w:p>
    <w:p w:rsidR="006649F3" w:rsidRDefault="006649F3" w:rsidP="00664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мы выяснили, что семья, которая является приоритетным социализирующим институтом для развития ребёнка, фактически не участвует в его подготовке к школе наравне с другими субъектами образовательного процесса. Эти выводы стали существенным основанием для дальнейшей работы </w:t>
      </w:r>
      <w:r>
        <w:rPr>
          <w:sz w:val="28"/>
          <w:szCs w:val="28"/>
        </w:rPr>
        <w:lastRenderedPageBreak/>
        <w:t>по проектированию программы, подготавливающей родителей к обучению их детей к школе.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пилотное исследование проводилось на базе школы № 325, Фрунзенского района Санкт-Петербурга. В исследовании принимали участие родители 1 «А» и 1 «Б» классов. В 1 «А» классе принимало участие 19 родителей. Во 2 «Б» классе – 23 родителя. Основным диагностическим инструментом изучения уровня педагогической готовности родителей служит опросник И.А. Хоменко «ГРОД» (готовность родителей к обучению их детей в школе). 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опросника была создана модель образовательной программы (см. Схема 1).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Т.О., проанализировав психолого-педагогическую литературу, сделав анализ дистанционного интервью, выделив проблемы обсуждаемые на родительских форумах, обобщив </w:t>
      </w:r>
      <w:r>
        <w:rPr>
          <w:color w:val="000000"/>
          <w:sz w:val="28"/>
        </w:rPr>
        <w:t>результаты диагностики мы пришли к выводу, что  необходимо готовить к школе не только детей, но и родителей, т.к., они не всегда могут оказать полноценную поддержку своим детям в освоении новой для них – учебной деятельности.</w:t>
      </w:r>
    </w:p>
    <w:p w:rsidR="006649F3" w:rsidRDefault="006649F3" w:rsidP="006649F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связи с этим, мы предполагаем, что  наиболее эффективным способом такой подготовки может быть разработка специальной образовательной программы для родителей, ориентированной на профилактику выделенных в настоящем исследовании проблем родителей дошкольников.</w:t>
      </w:r>
    </w:p>
    <w:p w:rsidR="006649F3" w:rsidRDefault="006649F3" w:rsidP="006649F3">
      <w:pPr>
        <w:ind w:firstLine="709"/>
        <w:jc w:val="both"/>
        <w:rPr>
          <w:sz w:val="28"/>
          <w:szCs w:val="28"/>
        </w:rPr>
      </w:pPr>
    </w:p>
    <w:p w:rsidR="006649F3" w:rsidRDefault="006649F3" w:rsidP="006649F3">
      <w:pPr>
        <w:ind w:firstLine="709"/>
        <w:jc w:val="both"/>
        <w:rPr>
          <w:sz w:val="28"/>
          <w:szCs w:val="28"/>
        </w:rPr>
      </w:pPr>
    </w:p>
    <w:p w:rsidR="006649F3" w:rsidRDefault="006649F3" w:rsidP="006649F3">
      <w:pPr>
        <w:ind w:firstLine="709"/>
        <w:jc w:val="both"/>
        <w:rPr>
          <w:sz w:val="28"/>
          <w:szCs w:val="28"/>
        </w:rPr>
      </w:pPr>
    </w:p>
    <w:p w:rsidR="006649F3" w:rsidRDefault="006649F3" w:rsidP="006649F3">
      <w:pPr>
        <w:ind w:firstLine="709"/>
        <w:jc w:val="both"/>
        <w:rPr>
          <w:sz w:val="28"/>
          <w:szCs w:val="28"/>
        </w:rPr>
      </w:pPr>
    </w:p>
    <w:p w:rsidR="006649F3" w:rsidRDefault="006649F3" w:rsidP="006649F3">
      <w:pPr>
        <w:ind w:firstLine="709"/>
        <w:jc w:val="both"/>
        <w:rPr>
          <w:sz w:val="28"/>
          <w:szCs w:val="28"/>
        </w:rPr>
      </w:pPr>
    </w:p>
    <w:p w:rsidR="006649F3" w:rsidRDefault="006649F3" w:rsidP="006649F3">
      <w:pPr>
        <w:ind w:firstLine="709"/>
        <w:jc w:val="both"/>
        <w:rPr>
          <w:sz w:val="28"/>
          <w:szCs w:val="28"/>
        </w:rPr>
      </w:pPr>
    </w:p>
    <w:p w:rsidR="006649F3" w:rsidRDefault="006649F3" w:rsidP="006649F3">
      <w:pPr>
        <w:ind w:firstLine="709"/>
        <w:jc w:val="both"/>
        <w:rPr>
          <w:sz w:val="28"/>
          <w:szCs w:val="28"/>
        </w:rPr>
      </w:pPr>
    </w:p>
    <w:p w:rsidR="006649F3" w:rsidRDefault="006649F3" w:rsidP="006649F3">
      <w:pPr>
        <w:jc w:val="both"/>
        <w:rPr>
          <w:sz w:val="28"/>
          <w:szCs w:val="28"/>
        </w:rPr>
      </w:pPr>
    </w:p>
    <w:p w:rsidR="006649F3" w:rsidRDefault="006649F3" w:rsidP="006649F3">
      <w:pPr>
        <w:jc w:val="both"/>
        <w:rPr>
          <w:sz w:val="28"/>
          <w:szCs w:val="28"/>
        </w:rPr>
      </w:pPr>
    </w:p>
    <w:p w:rsidR="006649F3" w:rsidRDefault="006649F3" w:rsidP="006649F3">
      <w:pPr>
        <w:jc w:val="both"/>
        <w:rPr>
          <w:sz w:val="28"/>
          <w:szCs w:val="28"/>
        </w:rPr>
      </w:pPr>
    </w:p>
    <w:p w:rsidR="006649F3" w:rsidRDefault="006649F3" w:rsidP="006649F3">
      <w:pPr>
        <w:ind w:firstLine="709"/>
        <w:jc w:val="right"/>
        <w:rPr>
          <w:i/>
        </w:rPr>
      </w:pPr>
      <w:r>
        <w:rPr>
          <w:i/>
        </w:rPr>
        <w:t>Схема 1.</w:t>
      </w:r>
    </w:p>
    <w:p w:rsidR="006649F3" w:rsidRDefault="006649F3" w:rsidP="006649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Модель образовательной программы</w:t>
      </w:r>
    </w:p>
    <w:p w:rsidR="006649F3" w:rsidRDefault="006649F3" w:rsidP="006649F3">
      <w:pPr>
        <w:ind w:firstLine="709"/>
        <w:jc w:val="center"/>
        <w:rPr>
          <w:b/>
          <w:sz w:val="28"/>
          <w:szCs w:val="28"/>
        </w:rPr>
      </w:pPr>
    </w:p>
    <w:p w:rsidR="006649F3" w:rsidRDefault="006649F3" w:rsidP="006649F3">
      <w:pPr>
        <w:tabs>
          <w:tab w:val="left" w:pos="846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372100" cy="5600700"/>
                <wp:effectExtent l="9525" t="9525" r="9525" b="9525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72100" cy="5599906"/>
                            <a:chOff x="3068" y="8401"/>
                            <a:chExt cx="6768" cy="7051"/>
                          </a:xfrm>
                        </wpg:grpSpPr>
                        <wpg:grpSp>
                          <wpg:cNvPr id="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068" y="8401"/>
                              <a:ext cx="6768" cy="2303"/>
                              <a:chOff x="3068" y="8401"/>
                              <a:chExt cx="6768" cy="2303"/>
                            </a:xfrm>
                          </wpg:grpSpPr>
                          <wpg:grpSp>
                            <wpg:cNvPr id="3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68" y="8401"/>
                                <a:ext cx="6768" cy="1728"/>
                                <a:chOff x="3068" y="8401"/>
                                <a:chExt cx="6768" cy="1728"/>
                              </a:xfrm>
                            </wpg:grpSpPr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6" y="8401"/>
                                  <a:ext cx="5904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49F3" w:rsidRDefault="006649F3" w:rsidP="006649F3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Изучение уровня готовности родителей</w:t>
                                    </w:r>
                                  </w:p>
                                  <w:p w:rsidR="006649F3" w:rsidRDefault="006649F3" w:rsidP="006649F3">
                                    <w:pPr>
                                      <w:ind w:left="709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6649F3" w:rsidRDefault="006649F3" w:rsidP="006649F3"/>
                                  <w:p w:rsidR="006649F3" w:rsidRDefault="006649F3" w:rsidP="006649F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68" y="9265"/>
                                  <a:ext cx="1584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49F3" w:rsidRDefault="006649F3" w:rsidP="006649F3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Психологическая готовность</w:t>
                                    </w:r>
                                  </w:p>
                                  <w:p w:rsidR="006649F3" w:rsidRDefault="006649F3" w:rsidP="006649F3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0" y="9265"/>
                                  <a:ext cx="1440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49F3" w:rsidRDefault="006649F3" w:rsidP="006649F3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Педагогическая готовность</w:t>
                                    </w:r>
                                  </w:p>
                                  <w:p w:rsidR="006649F3" w:rsidRDefault="006649F3" w:rsidP="006649F3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8" y="9265"/>
                                  <a:ext cx="1440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49F3" w:rsidRDefault="006649F3" w:rsidP="006649F3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Социально – Юридическая</w:t>
                                    </w:r>
                                  </w:p>
                                  <w:p w:rsidR="006649F3" w:rsidRDefault="006649F3" w:rsidP="006649F3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готовность</w:t>
                                    </w:r>
                                  </w:p>
                                  <w:p w:rsidR="006649F3" w:rsidRDefault="006649F3" w:rsidP="006649F3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96" y="9265"/>
                                  <a:ext cx="1440" cy="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49F3" w:rsidRDefault="006649F3" w:rsidP="006649F3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Материальная</w:t>
                                    </w:r>
                                  </w:p>
                                  <w:p w:rsidR="006649F3" w:rsidRDefault="006649F3" w:rsidP="006649F3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готовность</w:t>
                                    </w:r>
                                  </w:p>
                                  <w:p w:rsidR="006649F3" w:rsidRDefault="006649F3" w:rsidP="006649F3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32" y="8977"/>
                                  <a:ext cx="144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0" y="8977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88" y="8977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28" y="8977"/>
                                  <a:ext cx="288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60" y="10128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3356" y="10704"/>
                              <a:ext cx="5904" cy="4748"/>
                              <a:chOff x="3356" y="10704"/>
                              <a:chExt cx="5904" cy="4748"/>
                            </a:xfrm>
                          </wpg:grpSpPr>
                          <wps:wsp>
                            <wps:cNvPr id="15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56" y="10704"/>
                                <a:ext cx="5904" cy="8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9F3" w:rsidRDefault="006649F3" w:rsidP="006649F3">
                                  <w:pPr>
                                    <w:ind w:firstLine="709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II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 Определение минимальных значений по педагогической готовности родителей к обучению их ребенка в школе</w:t>
                                  </w:r>
                                </w:p>
                                <w:p w:rsidR="006649F3" w:rsidRDefault="006649F3" w:rsidP="006649F3">
                                  <w:pPr>
                                    <w:ind w:left="-180"/>
                                  </w:pPr>
                                </w:p>
                                <w:p w:rsidR="006649F3" w:rsidRDefault="006649F3" w:rsidP="006649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56" y="11999"/>
                                <a:ext cx="5904" cy="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9F3" w:rsidRDefault="006649F3" w:rsidP="006649F3">
                                  <w:pPr>
                                    <w:ind w:left="-18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III.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Проектирование образовательной программы</w:t>
                                  </w:r>
                                </w:p>
                                <w:p w:rsidR="006649F3" w:rsidRDefault="006649F3" w:rsidP="006649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56" y="12862"/>
                                <a:ext cx="5904" cy="5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9F3" w:rsidRDefault="006649F3" w:rsidP="006649F3">
                                  <w:pPr>
                                    <w:ind w:firstLine="709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IV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 Реализация образовательной программы</w:t>
                                  </w:r>
                                </w:p>
                                <w:p w:rsidR="006649F3" w:rsidRDefault="006649F3" w:rsidP="006649F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56" y="13726"/>
                                <a:ext cx="5904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9F3" w:rsidRDefault="006649F3" w:rsidP="006649F3">
                                  <w:pPr>
                                    <w:ind w:firstLine="709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 Диагностика результативности  образовательной программы</w:t>
                                  </w:r>
                                </w:p>
                                <w:p w:rsidR="006649F3" w:rsidRDefault="006649F3" w:rsidP="006649F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56" y="14734"/>
                                <a:ext cx="5904" cy="7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9F3" w:rsidRDefault="006649F3" w:rsidP="006649F3">
                                  <w:pPr>
                                    <w:ind w:firstLine="709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VI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 Рекомендации педагогам по работе с конкретными родителями</w:t>
                                  </w:r>
                                </w:p>
                                <w:p w:rsidR="006649F3" w:rsidRDefault="006649F3" w:rsidP="006649F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36" y="11567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36" y="12575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36" y="13438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36" y="14446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26" editas="canvas" style="width:423pt;height:441pt;mso-position-horizontal-relative:char;mso-position-vertical-relative:line" coordsize="53721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56007;visibility:visible;mso-wrap-style:square">
                  <v:fill o:detectmouseclick="t"/>
                  <v:path o:connecttype="none"/>
                </v:shape>
                <v:group id="Group 4" o:spid="_x0000_s1028" style="position:absolute;width:53721;height:55999" coordorigin="3068,8401" coordsize="6768,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5" o:spid="_x0000_s1029" style="position:absolute;left:3068;top:8401;width:6768;height:2303" coordorigin="3068,8401" coordsize="6768,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6" o:spid="_x0000_s1030" style="position:absolute;left:3068;top:8401;width:6768;height:1728" coordorigin="3068,8401" coordsize="6768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3356;top:8401;width:590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6649F3" w:rsidRDefault="006649F3" w:rsidP="006649F3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Изучение уровня готовности родителей</w:t>
                              </w:r>
                            </w:p>
                            <w:p w:rsidR="006649F3" w:rsidRDefault="006649F3" w:rsidP="006649F3">
                              <w:pPr>
                                <w:ind w:left="709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649F3" w:rsidRDefault="006649F3" w:rsidP="006649F3"/>
                            <w:p w:rsidR="006649F3" w:rsidRDefault="006649F3" w:rsidP="006649F3"/>
                          </w:txbxContent>
                        </v:textbox>
                      </v:shape>
                      <v:shape id="Text Box 8" o:spid="_x0000_s1032" type="#_x0000_t202" style="position:absolute;left:3068;top:9265;width:158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6649F3" w:rsidRDefault="006649F3" w:rsidP="006649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Психологическая готовность</w:t>
                              </w:r>
                            </w:p>
                            <w:p w:rsidR="006649F3" w:rsidRDefault="006649F3" w:rsidP="006649F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9" o:spid="_x0000_s1033" type="#_x0000_t202" style="position:absolute;left:4940;top:9265;width:144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6649F3" w:rsidRDefault="006649F3" w:rsidP="006649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Педагогическая готовность</w:t>
                              </w:r>
                            </w:p>
                            <w:p w:rsidR="006649F3" w:rsidRDefault="006649F3" w:rsidP="006649F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10" o:spid="_x0000_s1034" type="#_x0000_t202" style="position:absolute;left:6668;top:9265;width:144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6649F3" w:rsidRDefault="006649F3" w:rsidP="006649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Социально – Юридическая</w:t>
                              </w:r>
                            </w:p>
                            <w:p w:rsidR="006649F3" w:rsidRDefault="006649F3" w:rsidP="006649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готовность</w:t>
                              </w:r>
                            </w:p>
                            <w:p w:rsidR="006649F3" w:rsidRDefault="006649F3" w:rsidP="006649F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5" type="#_x0000_t202" style="position:absolute;left:8396;top:9265;width:144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6649F3" w:rsidRDefault="006649F3" w:rsidP="006649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Материальная</w:t>
                              </w:r>
                            </w:p>
                            <w:p w:rsidR="006649F3" w:rsidRDefault="006649F3" w:rsidP="006649F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готовность</w:t>
                              </w:r>
                            </w:p>
                            <w:p w:rsidR="006649F3" w:rsidRDefault="006649F3" w:rsidP="006649F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line id="Line 12" o:spid="_x0000_s1036" style="position:absolute;flip:x;visibility:visible;mso-wrap-style:square" from="3932,8977" to="4076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    <v:stroke endarrow="block"/>
                      </v:line>
                      <v:line id="Line 13" o:spid="_x0000_s1037" style="position:absolute;visibility:visible;mso-wrap-style:square" from="5660,8977" to="5660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    <v:stroke endarrow="block"/>
                      </v:line>
                      <v:line id="Line 14" o:spid="_x0000_s1038" style="position:absolute;visibility:visible;mso-wrap-style:square" from="7388,8977" to="7388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      <v:stroke endarrow="block"/>
                      </v:line>
                      <v:line id="Line 15" o:spid="_x0000_s1039" style="position:absolute;visibility:visible;mso-wrap-style:square" from="8828,8977" to="9116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      <v:stroke endarrow="block"/>
                      </v:line>
                    </v:group>
                    <v:line id="Line 16" o:spid="_x0000_s1040" style="position:absolute;visibility:visible;mso-wrap-style:square" from="5660,10128" to="5660,10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    <v:stroke endarrow="block"/>
                    </v:line>
                  </v:group>
                  <v:group id="Group 17" o:spid="_x0000_s1041" style="position:absolute;left:3356;top:10704;width:5904;height:4748" coordorigin="3356,10704" coordsize="5904,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Text Box 18" o:spid="_x0000_s1042" type="#_x0000_t202" style="position:absolute;left:3356;top:10704;width:5904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<v:textbox>
                        <w:txbxContent>
                          <w:p w:rsidR="006649F3" w:rsidRDefault="006649F3" w:rsidP="006649F3">
                            <w:pPr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Определение минимальных значений по педагогической готовности родителей к обучению их ребенка в школе</w:t>
                            </w:r>
                          </w:p>
                          <w:p w:rsidR="006649F3" w:rsidRDefault="006649F3" w:rsidP="006649F3">
                            <w:pPr>
                              <w:ind w:left="-180"/>
                            </w:pPr>
                          </w:p>
                          <w:p w:rsidR="006649F3" w:rsidRDefault="006649F3" w:rsidP="006649F3"/>
                        </w:txbxContent>
                      </v:textbox>
                    </v:shape>
                    <v:shape id="Text Box 19" o:spid="_x0000_s1043" type="#_x0000_t202" style="position:absolute;left:3356;top:11999;width:5904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6649F3" w:rsidRDefault="006649F3" w:rsidP="006649F3">
                            <w:pPr>
                              <w:ind w:left="-18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III.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Проектирование образовательной программы</w:t>
                            </w:r>
                          </w:p>
                          <w:p w:rsidR="006649F3" w:rsidRDefault="006649F3" w:rsidP="006649F3"/>
                        </w:txbxContent>
                      </v:textbox>
                    </v:shape>
                    <v:shape id="Text Box 20" o:spid="_x0000_s1044" type="#_x0000_t202" style="position:absolute;left:3356;top:12862;width:590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6649F3" w:rsidRDefault="006649F3" w:rsidP="006649F3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Реализация образовательной программы</w:t>
                            </w:r>
                          </w:p>
                          <w:p w:rsidR="006649F3" w:rsidRDefault="006649F3" w:rsidP="006649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45" type="#_x0000_t202" style="position:absolute;left:3356;top:13726;width:5904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6649F3" w:rsidRDefault="006649F3" w:rsidP="006649F3">
                            <w:pPr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Диагностика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результативности  образовательной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программы</w:t>
                            </w:r>
                          </w:p>
                          <w:p w:rsidR="006649F3" w:rsidRDefault="006649F3" w:rsidP="006649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2" o:spid="_x0000_s1046" type="#_x0000_t202" style="position:absolute;left:3356;top:14734;width:5904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6649F3" w:rsidRDefault="006649F3" w:rsidP="006649F3">
                            <w:pPr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Рекомендации педагогам по работе с конкретными родителями</w:t>
                            </w:r>
                          </w:p>
                          <w:p w:rsidR="006649F3" w:rsidRDefault="006649F3" w:rsidP="006649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line id="Line 23" o:spid="_x0000_s1047" style="position:absolute;visibility:visible;mso-wrap-style:square" from="6236,11567" to="6236,1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    <v:stroke endarrow="block"/>
                    </v:line>
                    <v:line id="Line 24" o:spid="_x0000_s1048" style="position:absolute;visibility:visible;mso-wrap-style:square" from="6236,12575" to="6236,12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    <v:stroke endarrow="block"/>
                    </v:line>
                    <v:line id="Line 25" o:spid="_x0000_s1049" style="position:absolute;visibility:visible;mso-wrap-style:square" from="6236,13438" to="6236,13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  <v:stroke endarrow="block"/>
                    </v:line>
                    <v:line id="Line 26" o:spid="_x0000_s1050" style="position:absolute;visibility:visible;mso-wrap-style:square" from="6236,14446" to="6236,1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    <v:stroke endarrow="block"/>
                    </v:line>
                  </v:group>
                </v:group>
                <w10:anchorlock/>
              </v:group>
            </w:pict>
          </mc:Fallback>
        </mc:AlternateContent>
      </w:r>
    </w:p>
    <w:p w:rsidR="006649F3" w:rsidRDefault="006649F3" w:rsidP="006649F3">
      <w:pPr>
        <w:rPr>
          <w:sz w:val="28"/>
          <w:szCs w:val="28"/>
        </w:rPr>
      </w:pPr>
    </w:p>
    <w:p w:rsidR="006649F3" w:rsidRDefault="006649F3" w:rsidP="006649F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6649F3" w:rsidRDefault="006649F3" w:rsidP="006649F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Коджаспиров А.Ю. Формирование личностной готовности учащихся 10-12 лет к обучению в основной средней школе.</w:t>
      </w:r>
      <w:r>
        <w:rPr>
          <w:color w:val="000000"/>
          <w:sz w:val="20"/>
          <w:szCs w:val="28"/>
        </w:rPr>
        <w:t xml:space="preserve"> </w:t>
      </w:r>
      <w:r>
        <w:rPr>
          <w:color w:val="000000"/>
          <w:sz w:val="28"/>
          <w:szCs w:val="28"/>
        </w:rPr>
        <w:t>Автореферат диссертации на соис. уч. степ.  кандидата психологических наук. М.; 2005. – 26 с.</w:t>
      </w:r>
    </w:p>
    <w:p w:rsidR="006649F3" w:rsidRDefault="006649F3" w:rsidP="006649F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Словарь по экономике и финансам. Глоссарий.ру</w:t>
      </w:r>
      <w:r>
        <w:t xml:space="preserve"> </w:t>
      </w:r>
      <w:hyperlink r:id="rId5" w:history="1">
        <w:r>
          <w:rPr>
            <w:rStyle w:val="a3"/>
            <w:bCs/>
            <w:sz w:val="28"/>
            <w:szCs w:val="28"/>
          </w:rPr>
          <w:t>http://slovari.yandex.ru/dict/glossary</w:t>
        </w:r>
      </w:hyperlink>
    </w:p>
    <w:p w:rsidR="006649F3" w:rsidRDefault="006649F3" w:rsidP="006649F3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Хоменко И.А. Проблемы педагогической диагностики семьи в современном образовании//Образование и семья: проблемы диагностики. Материалы  международной научно-практической конференции, 19-20 апреля 2007г., Санкт-Петербург/ Под общей ред. И.А. Хоменко. -  СПб.: Издательство «Борей АРТ», 2007 – с. 5 – 15.</w:t>
      </w:r>
    </w:p>
    <w:p w:rsidR="00086E55" w:rsidRDefault="00086E55"/>
    <w:sectPr w:rsidR="00086E55" w:rsidSect="006649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346D"/>
    <w:multiLevelType w:val="hybridMultilevel"/>
    <w:tmpl w:val="94F28E46"/>
    <w:lvl w:ilvl="0" w:tplc="6D3E3E4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3BE1809"/>
    <w:multiLevelType w:val="hybridMultilevel"/>
    <w:tmpl w:val="4A04EC7C"/>
    <w:lvl w:ilvl="0" w:tplc="F9E0A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E7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28F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46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8E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2F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229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6A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5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B455F"/>
    <w:multiLevelType w:val="hybridMultilevel"/>
    <w:tmpl w:val="3504328A"/>
    <w:lvl w:ilvl="0" w:tplc="E6447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8F"/>
    <w:rsid w:val="00086E55"/>
    <w:rsid w:val="003165FC"/>
    <w:rsid w:val="006649F3"/>
    <w:rsid w:val="006F7149"/>
    <w:rsid w:val="008A43D8"/>
    <w:rsid w:val="00930205"/>
    <w:rsid w:val="00AC0FC1"/>
    <w:rsid w:val="00D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EC994-81EC-4353-BC63-61820144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4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ovari.yandex.ru/dict/gloss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2019-01-19T10:49:00Z</dcterms:created>
  <dcterms:modified xsi:type="dcterms:W3CDTF">2019-01-19T10:49:00Z</dcterms:modified>
</cp:coreProperties>
</file>