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39" w:rsidRDefault="00B046F1" w:rsidP="007E1A39">
      <w:pPr>
        <w:spacing w:after="0" w:line="360" w:lineRule="auto"/>
        <w:jc w:val="center"/>
        <w:rPr>
          <w:b/>
        </w:rPr>
      </w:pPr>
      <w:bookmarkStart w:id="0" w:name="_GoBack"/>
      <w:r w:rsidRPr="00B046F1">
        <w:rPr>
          <w:b/>
        </w:rPr>
        <w:t xml:space="preserve">Обобщение опыта работы учителя математики </w:t>
      </w:r>
      <w:bookmarkEnd w:id="0"/>
    </w:p>
    <w:p w:rsidR="007E1A39" w:rsidRDefault="007E1A39" w:rsidP="007E1A39">
      <w:pPr>
        <w:spacing w:after="0" w:line="360" w:lineRule="auto"/>
        <w:jc w:val="center"/>
        <w:rPr>
          <w:b/>
        </w:rPr>
      </w:pPr>
      <w:proofErr w:type="spellStart"/>
      <w:r>
        <w:rPr>
          <w:b/>
        </w:rPr>
        <w:t>Сиргажиной</w:t>
      </w:r>
      <w:proofErr w:type="spellEnd"/>
      <w:r>
        <w:rPr>
          <w:b/>
        </w:rPr>
        <w:t xml:space="preserve"> Лидии </w:t>
      </w:r>
      <w:proofErr w:type="spellStart"/>
      <w:r>
        <w:rPr>
          <w:b/>
        </w:rPr>
        <w:t>Алифьяновны</w:t>
      </w:r>
      <w:proofErr w:type="spellEnd"/>
      <w:r w:rsidR="00B046F1" w:rsidRPr="00B046F1">
        <w:rPr>
          <w:b/>
        </w:rPr>
        <w:t xml:space="preserve"> по теме:</w:t>
      </w:r>
    </w:p>
    <w:p w:rsidR="000428E5" w:rsidRDefault="00B046F1" w:rsidP="007E1A39">
      <w:pPr>
        <w:spacing w:after="0" w:line="360" w:lineRule="auto"/>
        <w:jc w:val="center"/>
        <w:rPr>
          <w:b/>
        </w:rPr>
      </w:pPr>
      <w:r w:rsidRPr="00B046F1">
        <w:rPr>
          <w:b/>
        </w:rPr>
        <w:t xml:space="preserve"> «Исследовательская деятельность на уроках математики»</w:t>
      </w:r>
    </w:p>
    <w:p w:rsidR="00B046F1" w:rsidRPr="007E1A39" w:rsidRDefault="00B046F1" w:rsidP="007E1A39">
      <w:pPr>
        <w:shd w:val="clear" w:color="auto" w:fill="FFFFFF"/>
        <w:spacing w:after="0" w:line="240" w:lineRule="auto"/>
        <w:jc w:val="right"/>
        <w:rPr>
          <w:rFonts w:eastAsia="Times New Roman" w:cs="Times New Roman"/>
          <w:i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/>
          <w:color w:val="000000" w:themeColor="text1"/>
          <w:szCs w:val="28"/>
          <w:lang w:eastAsia="ru-RU"/>
        </w:rPr>
        <w:t>Поэт должен видеть то, чего не видят другие.</w:t>
      </w:r>
    </w:p>
    <w:p w:rsidR="00B046F1" w:rsidRPr="007E1A39" w:rsidRDefault="00B046F1" w:rsidP="007E1A39">
      <w:pPr>
        <w:shd w:val="clear" w:color="auto" w:fill="FFFFFF"/>
        <w:spacing w:after="0" w:line="240" w:lineRule="auto"/>
        <w:jc w:val="right"/>
        <w:rPr>
          <w:rFonts w:eastAsia="Times New Roman" w:cs="Times New Roman"/>
          <w:i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/>
          <w:color w:val="000000" w:themeColor="text1"/>
          <w:szCs w:val="28"/>
          <w:lang w:eastAsia="ru-RU"/>
        </w:rPr>
        <w:t xml:space="preserve"> И это же должен и математик.</w:t>
      </w:r>
    </w:p>
    <w:p w:rsidR="00B046F1" w:rsidRPr="007E1A39" w:rsidRDefault="00B046F1" w:rsidP="007E1A39">
      <w:pPr>
        <w:spacing w:after="0" w:line="360" w:lineRule="auto"/>
        <w:jc w:val="right"/>
        <w:rPr>
          <w:rFonts w:eastAsia="Times New Roman" w:cs="Times New Roman"/>
          <w:i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/>
          <w:iCs/>
          <w:color w:val="000000" w:themeColor="text1"/>
          <w:szCs w:val="28"/>
          <w:lang w:eastAsia="ru-RU"/>
        </w:rPr>
        <w:t>Софья Ковалевская</w:t>
      </w:r>
    </w:p>
    <w:p w:rsidR="00B046F1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Каждому ребенку даровано от природы склонность к познанию и исследованию окружающего его мира. Правильно поставленное обучение должно совершенствовать эту склонность, способствовать развитию соответствующих умений и навыков. Ведь одного желания, как правило, недостаточно для успешного решения поисковых и исследовательских задач. 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Эффективность исследовательской деятельности зависит, конечно, и от меры увлеченности ученика этой деятельностью и от умения ее выполнять. Представляется необычайно полезным прививать школьникам вкус </w:t>
      </w:r>
      <w:proofErr w:type="gramStart"/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к</w:t>
      </w:r>
      <w:proofErr w:type="gramEnd"/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 </w:t>
      </w:r>
      <w:proofErr w:type="gramStart"/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исследования</w:t>
      </w:r>
      <w:proofErr w:type="gramEnd"/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, вооружать их методами научно-исследовательской деятельности. 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В своей работе я так организовываю работу, чтобы они ненавязчиво усваивали процедуру исследования, последовательно проходя все его основные этапы: 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мотивация исследовательской деятельности;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постановка проблемы;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сбор фактического материала;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систематизация и анализ полученного материала;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выдвижение гипотез;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- проверка гипотез;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- доказательство гипотез или их опровержение. 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Здесь моя задача состоит в том, чтобы найти простые и удобные средства для практической реализации каждого из названных этапов. Хочу более детально остановиться на первом этапе, на мотивации исследовательской деятельности, которую осуществляю различными способами:</w:t>
      </w:r>
    </w:p>
    <w:p w:rsidR="00E601DC" w:rsidRPr="007E1A39" w:rsidRDefault="00E601DC" w:rsidP="007E1A39">
      <w:pPr>
        <w:spacing w:after="0" w:line="360" w:lineRule="auto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lastRenderedPageBreak/>
        <w:t>- делаю акцент на значимости ожидаемых результатов;</w:t>
      </w:r>
    </w:p>
    <w:p w:rsidR="00E601DC" w:rsidRPr="007E1A39" w:rsidRDefault="00E601DC" w:rsidP="007E1A39">
      <w:pPr>
        <w:spacing w:after="0" w:line="360" w:lineRule="auto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-предлагаю оригинальное или неожиданно сформулированное учебное задания и т. п. 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При исследовании мотивирующая (исходная) задача должна обеспечить «видение» учащимися более общей проблемы, нежели та, которая отражена в условии задачи.</w:t>
      </w:r>
    </w:p>
    <w:p w:rsidR="00E601DC" w:rsidRPr="007E1A39" w:rsidRDefault="00E601DC" w:rsidP="007E1A39">
      <w:pPr>
        <w:spacing w:after="0" w:line="360" w:lineRule="auto"/>
        <w:ind w:firstLine="709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 xml:space="preserve">При изучении теоремы Пифагора предлагаю задачу (историческое вкрапление в материал урока): 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На берегу реки рос тополь одинокий.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Вдруг ветра порыв его ствол надломал.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Бедный тополь упал. Угол прямой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С течением реки его ствол составлял.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Запомни теперь, что в том месте река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В четыре лишь фута была широка.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Оказалось три фута всего от ствола.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Прошу тебя, мне поскорее скажи: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eastAsia="Times New Roman" w:cs="Times New Roman"/>
          <w:iCs/>
          <w:color w:val="000000" w:themeColor="text1"/>
          <w:szCs w:val="28"/>
          <w:lang w:eastAsia="ru-RU"/>
        </w:rPr>
      </w:pPr>
      <w:r w:rsidRPr="007E1A39">
        <w:rPr>
          <w:rFonts w:eastAsia="Times New Roman" w:cs="Times New Roman"/>
          <w:iCs/>
          <w:color w:val="000000" w:themeColor="text1"/>
          <w:szCs w:val="28"/>
          <w:lang w:eastAsia="ru-RU"/>
        </w:rPr>
        <w:t>У тополя как велика высота?</w:t>
      </w:r>
    </w:p>
    <w:p w:rsidR="00E601DC" w:rsidRPr="007E1A39" w:rsidRDefault="00E601DC" w:rsidP="007E1A39">
      <w:pPr>
        <w:spacing w:after="0" w:line="360" w:lineRule="auto"/>
        <w:ind w:firstLine="709"/>
        <w:jc w:val="center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object w:dxaOrig="5805" w:dyaOrig="5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.35pt;height:231.9pt" o:ole="">
            <v:imagedata r:id="rId4" o:title=""/>
          </v:shape>
          <o:OLEObject Type="Embed" ProgID="PBrush" ShapeID="_x0000_i1025" DrawAspect="Content" ObjectID="_1709483886" r:id="rId5"/>
        </w:objec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Часто предлагаю задачи с недостаточными или избыточными данными. При рассмотрении задач с недостающими данными после того, как в ходе их анализа у учащихся возникает недоумение, предлагаю выяснить, каких </w:t>
      </w:r>
      <w:r w:rsidRPr="007E1A39">
        <w:rPr>
          <w:rFonts w:cs="Times New Roman"/>
          <w:szCs w:val="28"/>
        </w:rPr>
        <w:lastRenderedPageBreak/>
        <w:t xml:space="preserve">данных не хватает для решения или для получения однозначного ответа. Учащиеся могут сами или с помощью учителя добавить недостающие данные и решить задачу. При анализе условий задач с лишними данными, учащиеся должны выяснить, какие из данных не являются существенными для нахождения ответа на поставленный в задаче вопрос, выбрать только нужные данные. </w:t>
      </w:r>
    </w:p>
    <w:p w:rsidR="00E601DC" w:rsidRPr="007E1A39" w:rsidRDefault="009B1E8D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Например,</w:t>
      </w:r>
      <w:r w:rsidR="00E601DC" w:rsidRPr="007E1A39">
        <w:rPr>
          <w:rFonts w:cs="Times New Roman"/>
          <w:szCs w:val="28"/>
        </w:rPr>
        <w:t xml:space="preserve"> задача с недостающими данными.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- Площадь футбольного поля равна 750 км</w:t>
      </w:r>
      <w:proofErr w:type="gramStart"/>
      <w:r w:rsidRPr="007E1A39">
        <w:rPr>
          <w:rFonts w:cs="Times New Roman"/>
          <w:szCs w:val="28"/>
          <w:vertAlign w:val="superscript"/>
        </w:rPr>
        <w:t>2</w:t>
      </w:r>
      <w:proofErr w:type="gramEnd"/>
      <w:r w:rsidRPr="007E1A39">
        <w:rPr>
          <w:rFonts w:cs="Times New Roman"/>
          <w:szCs w:val="28"/>
        </w:rPr>
        <w:t>. Найдите его ширину. (5 класс)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- Теплоход идет по реке со скоростью 25 км/ч, а впереди него идет баржа со скоростью 15 км/ч. Догонит ли теплоход баржу за 2 часа.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Задачи с лишними данными: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- Веревку, длиной 256 м разрезали на 2 части, первая из которых в 7 раз длиннее второй, а вторая на 192 метра короче первой. Какой длины оказались части веревки. 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Исследовательскую работу хорошо проводить при изучении темы «Правильные многоугольники». 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Порядок проведения работы таков: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1.Повторение свой</w:t>
      </w:r>
      <w:proofErr w:type="gramStart"/>
      <w:r w:rsidRPr="007E1A39">
        <w:rPr>
          <w:rFonts w:cs="Times New Roman"/>
          <w:szCs w:val="28"/>
        </w:rPr>
        <w:t>ств пр</w:t>
      </w:r>
      <w:proofErr w:type="gramEnd"/>
      <w:r w:rsidRPr="007E1A39">
        <w:rPr>
          <w:rFonts w:cs="Times New Roman"/>
          <w:szCs w:val="28"/>
        </w:rPr>
        <w:t>ивальных многоугольников</w:t>
      </w:r>
    </w:p>
    <w:p w:rsidR="00E601DC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2. Постановка задачи покрытия плоскости правильными одноименными равными прямоугольниками. </w:t>
      </w:r>
    </w:p>
    <w:p w:rsidR="00E91D60" w:rsidRPr="007E1A39" w:rsidRDefault="00E601DC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3. </w:t>
      </w:r>
      <w:r w:rsidR="00E91D60" w:rsidRPr="007E1A39">
        <w:rPr>
          <w:rFonts w:cs="Times New Roman"/>
          <w:szCs w:val="28"/>
        </w:rPr>
        <w:t>Самостоятельное исследование вопроса о возможных покрытиях;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4. Коллективное обсуждение решения задачи;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5. Выполнение построений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Как-то на глаза</w:t>
      </w:r>
      <w:r w:rsidR="00F747E0" w:rsidRPr="007E1A39">
        <w:rPr>
          <w:rFonts w:cs="Times New Roman"/>
          <w:szCs w:val="28"/>
        </w:rPr>
        <w:t xml:space="preserve"> мне попалась книга Г. Д. Глейзе</w:t>
      </w:r>
      <w:r w:rsidRPr="007E1A39">
        <w:rPr>
          <w:rFonts w:cs="Times New Roman"/>
          <w:szCs w:val="28"/>
        </w:rPr>
        <w:t>ра, где описан графический метод решения стереометрических задач, позволяющий сделать доступным практически всем учащимся решения задач на комбинации геометрических фигур.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Известно, что при решении таких задач аналитическими методами, учащиеся сталкиваются с неопределенными для многих трудностями. Решая </w:t>
      </w:r>
      <w:r w:rsidRPr="007E1A39">
        <w:rPr>
          <w:rFonts w:cs="Times New Roman"/>
          <w:szCs w:val="28"/>
        </w:rPr>
        <w:lastRenderedPageBreak/>
        <w:t>задачи графически, учащиеся приобретают умения и навыки чтения чертежей, облегчается решение сложных геометрических задач на комбинацию или на сечение.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>Приведу пример задачи:</w:t>
      </w:r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В правильной треугольной пирамиде с высотой </w:t>
      </w:r>
      <w:r w:rsidRPr="007E1A39">
        <w:rPr>
          <w:rFonts w:cs="Times New Roman"/>
          <w:i/>
          <w:szCs w:val="28"/>
        </w:rPr>
        <w:t>Н</w:t>
      </w:r>
      <w:r w:rsidRPr="007E1A39">
        <w:rPr>
          <w:rFonts w:cs="Times New Roman"/>
          <w:szCs w:val="28"/>
        </w:rPr>
        <w:t xml:space="preserve"> через сторону </w:t>
      </w:r>
      <w:proofErr w:type="gramStart"/>
      <w:r w:rsidRPr="007E1A39">
        <w:rPr>
          <w:rFonts w:cs="Times New Roman"/>
          <w:szCs w:val="28"/>
        </w:rPr>
        <w:t>основания</w:t>
      </w:r>
      <w:proofErr w:type="gramEnd"/>
      <w:r w:rsidRPr="007E1A39">
        <w:rPr>
          <w:rFonts w:cs="Times New Roman"/>
          <w:szCs w:val="28"/>
        </w:rPr>
        <w:t xml:space="preserve"> </w:t>
      </w:r>
      <w:r w:rsidRPr="007E1A39">
        <w:rPr>
          <w:rFonts w:cs="Times New Roman"/>
          <w:i/>
          <w:szCs w:val="28"/>
        </w:rPr>
        <w:t>а</w:t>
      </w:r>
      <w:r w:rsidRPr="007E1A39">
        <w:rPr>
          <w:rFonts w:cs="Times New Roman"/>
          <w:szCs w:val="28"/>
        </w:rPr>
        <w:t xml:space="preserve"> проведения плоскость, пересекающая противолежащее боковое ребро под прямым углом. Найдите площадь сечения.</w:t>
      </w:r>
    </w:p>
    <w:p w:rsidR="00E91D60" w:rsidRPr="007E1A39" w:rsidRDefault="002A422D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604320" cy="2341498"/>
            <wp:effectExtent l="0" t="0" r="571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871" cy="234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1E8D" w:rsidRPr="007E1A39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149035" cy="2119505"/>
            <wp:effectExtent l="0" t="0" r="3810" b="0"/>
            <wp:docPr id="22" name="Рисунок 22" descr="C:\Users\Persik\Desktop\длябега\image-06-03-22-03-04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rsik\Desktop\длябега\image-06-03-22-03-04.hei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552" cy="212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E8D" w:rsidRPr="007E1A39" w:rsidRDefault="009B1E8D" w:rsidP="007E1A39">
      <w:pPr>
        <w:spacing w:after="0" w:line="360" w:lineRule="auto"/>
        <w:ind w:firstLine="709"/>
        <w:rPr>
          <w:rFonts w:cs="Times New Roman"/>
          <w:color w:val="202124"/>
          <w:szCs w:val="28"/>
          <w:shd w:val="clear" w:color="auto" w:fill="FFFFFF"/>
        </w:rPr>
      </w:pPr>
      <w:r w:rsidRPr="007E1A39">
        <w:rPr>
          <w:rFonts w:cs="Times New Roman"/>
          <w:szCs w:val="28"/>
        </w:rPr>
        <w:t xml:space="preserve">Решение. Располагаем пирамиду так, чтобы плоскость </w:t>
      </w:r>
      <w:r w:rsidR="00F747E0" w:rsidRPr="007E1A39">
        <w:rPr>
          <w:rFonts w:cs="Times New Roman"/>
          <w:szCs w:val="28"/>
        </w:rPr>
        <w:t>треугольника</w:t>
      </w:r>
      <w:r w:rsidRPr="007E1A39">
        <w:rPr>
          <w:rFonts w:cs="Times New Roman"/>
          <w:szCs w:val="28"/>
        </w:rPr>
        <w:t xml:space="preserve"> </w:t>
      </w:r>
      <w:r w:rsidR="00F747E0" w:rsidRPr="007E1A39">
        <w:rPr>
          <w:rFonts w:cs="Times New Roman"/>
          <w:szCs w:val="28"/>
          <w:lang w:val="en-US"/>
        </w:rPr>
        <w:t>SDC</w:t>
      </w:r>
      <w:r w:rsidR="00F747E0" w:rsidRPr="007E1A39">
        <w:rPr>
          <w:rFonts w:cs="Times New Roman"/>
          <w:szCs w:val="28"/>
        </w:rPr>
        <w:t xml:space="preserve"> была параллельна фронтальной плоскости проекции. Тогда основание пирамиды </w:t>
      </w:r>
      <w:proofErr w:type="gramStart"/>
      <w:r w:rsidR="00F747E0" w:rsidRPr="007E1A39">
        <w:rPr>
          <w:rFonts w:cs="Times New Roman"/>
          <w:szCs w:val="28"/>
        </w:rPr>
        <w:t xml:space="preserve">будет параллельно плоскости проекций Н. В этом случае отрезок </w:t>
      </w:r>
      <w:r w:rsidR="00F747E0" w:rsidRPr="007E1A39">
        <w:rPr>
          <w:rFonts w:cs="Times New Roman"/>
          <w:szCs w:val="28"/>
          <w:lang w:val="en-US"/>
        </w:rPr>
        <w:t>SO</w:t>
      </w:r>
      <w:r w:rsidR="00F747E0" w:rsidRPr="007E1A39">
        <w:rPr>
          <w:rFonts w:cs="Times New Roman"/>
          <w:szCs w:val="28"/>
        </w:rPr>
        <w:t xml:space="preserve"> будет</w:t>
      </w:r>
      <w:proofErr w:type="gramEnd"/>
      <w:r w:rsidR="00F747E0" w:rsidRPr="007E1A39">
        <w:rPr>
          <w:rFonts w:cs="Times New Roman"/>
          <w:szCs w:val="28"/>
        </w:rPr>
        <w:t xml:space="preserve"> равен </w:t>
      </w:r>
      <w:r w:rsidR="00F747E0" w:rsidRPr="007E1A39">
        <w:rPr>
          <w:rFonts w:cs="Times New Roman"/>
          <w:szCs w:val="28"/>
          <w:lang w:val="en-US"/>
        </w:rPr>
        <w:t>h</w:t>
      </w:r>
      <w:r w:rsidR="00F747E0" w:rsidRPr="007E1A39">
        <w:rPr>
          <w:rFonts w:cs="Times New Roman"/>
          <w:szCs w:val="28"/>
        </w:rPr>
        <w:t xml:space="preserve">, и </w:t>
      </w:r>
      <w:r w:rsidR="00F747E0" w:rsidRPr="007E1A39">
        <w:rPr>
          <w:rFonts w:ascii="Cambria Math" w:hAnsi="Cambria Math" w:cs="Times New Roman"/>
          <w:color w:val="202124"/>
          <w:szCs w:val="28"/>
          <w:shd w:val="clear" w:color="auto" w:fill="FFFFFF"/>
        </w:rPr>
        <w:t>∠</w:t>
      </w:r>
      <w:r w:rsidR="00F747E0" w:rsidRPr="007E1A39">
        <w:rPr>
          <w:rFonts w:cs="Times New Roman"/>
          <w:color w:val="202124"/>
          <w:szCs w:val="28"/>
          <w:shd w:val="clear" w:color="auto" w:fill="FFFFFF"/>
          <w:lang w:val="en-US"/>
        </w:rPr>
        <w:t>DEC</w:t>
      </w:r>
      <w:r w:rsidR="00F747E0" w:rsidRPr="007E1A39">
        <w:rPr>
          <w:rFonts w:cs="Times New Roman"/>
          <w:color w:val="202124"/>
          <w:szCs w:val="28"/>
          <w:shd w:val="clear" w:color="auto" w:fill="FFFFFF"/>
        </w:rPr>
        <w:t xml:space="preserve"> = 90°, проецируются в натуральную величину на фронтальной плоскости проекций. </w:t>
      </w:r>
    </w:p>
    <w:p w:rsidR="00F747E0" w:rsidRPr="007E1A39" w:rsidRDefault="00F747E0" w:rsidP="007E1A39">
      <w:pPr>
        <w:spacing w:after="0" w:line="360" w:lineRule="auto"/>
        <w:ind w:firstLine="709"/>
        <w:rPr>
          <w:rFonts w:cs="Times New Roman"/>
          <w:color w:val="202124"/>
          <w:szCs w:val="28"/>
          <w:shd w:val="clear" w:color="auto" w:fill="FFFFFF"/>
        </w:rPr>
      </w:pPr>
      <w:r w:rsidRPr="007E1A39">
        <w:rPr>
          <w:rFonts w:cs="Times New Roman"/>
          <w:color w:val="202124"/>
          <w:szCs w:val="28"/>
          <w:shd w:val="clear" w:color="auto" w:fill="FFFFFF"/>
        </w:rPr>
        <w:t xml:space="preserve">Допустим, </w:t>
      </w:r>
      <w:proofErr w:type="gramStart"/>
      <w:r w:rsidRPr="007E1A39">
        <w:rPr>
          <w:rFonts w:cs="Times New Roman"/>
          <w:color w:val="202124"/>
          <w:szCs w:val="28"/>
          <w:shd w:val="clear" w:color="auto" w:fill="FFFFFF"/>
        </w:rPr>
        <w:t>что</w:t>
      </w:r>
      <w:proofErr w:type="gramEnd"/>
      <w:r w:rsidRPr="007E1A39">
        <w:rPr>
          <w:rFonts w:cs="Times New Roman"/>
          <w:color w:val="202124"/>
          <w:szCs w:val="28"/>
          <w:shd w:val="clear" w:color="auto" w:fill="FFFFFF"/>
        </w:rPr>
        <w:t xml:space="preserve"> а = 20 мм и </w:t>
      </w:r>
      <w:r w:rsidRPr="007E1A39">
        <w:rPr>
          <w:rFonts w:cs="Times New Roman"/>
          <w:color w:val="202124"/>
          <w:szCs w:val="28"/>
          <w:shd w:val="clear" w:color="auto" w:fill="FFFFFF"/>
          <w:lang w:val="en-US"/>
        </w:rPr>
        <w:t>h</w:t>
      </w:r>
      <w:r w:rsidRPr="007E1A39">
        <w:rPr>
          <w:rFonts w:cs="Times New Roman"/>
          <w:color w:val="202124"/>
          <w:szCs w:val="28"/>
          <w:shd w:val="clear" w:color="auto" w:fill="FFFFFF"/>
        </w:rPr>
        <w:t>=40 мм. Выбираем масштаб изображения М:1:1.</w:t>
      </w:r>
    </w:p>
    <w:p w:rsidR="00F747E0" w:rsidRPr="007E1A39" w:rsidRDefault="00F747E0" w:rsidP="007E1A39">
      <w:pPr>
        <w:spacing w:after="0" w:line="360" w:lineRule="auto"/>
        <w:ind w:firstLine="709"/>
        <w:rPr>
          <w:rFonts w:cs="Times New Roman"/>
          <w:color w:val="202124"/>
          <w:szCs w:val="28"/>
          <w:shd w:val="clear" w:color="auto" w:fill="FFFFFF"/>
        </w:rPr>
      </w:pPr>
      <w:r w:rsidRPr="007E1A39">
        <w:rPr>
          <w:rFonts w:cs="Times New Roman"/>
          <w:szCs w:val="28"/>
        </w:rPr>
        <w:t xml:space="preserve">Сначала строим правильный треугольник АВС под анной стороне так, чтобы одна его сторона (АВ) была перпендикулярна к горизонтальной линии, являющейся горизонтальной проекцией данной пирамиды. Находим его центр и обозначаем через О. Потом, с помощью линий связи и по данной высоте, строим треугольник S´D´C´, являющийся фронтальной проекцией данной пирамиды. В этой проекции, проведя D´E´ </w:t>
      </w:r>
      <w:r w:rsidRPr="007E1A39">
        <w:rPr>
          <w:rFonts w:hAnsi="Segoe UI Symbol" w:cs="Times New Roman"/>
          <w:szCs w:val="28"/>
        </w:rPr>
        <w:t>⟂</w:t>
      </w:r>
      <w:r w:rsidRPr="007E1A39">
        <w:rPr>
          <w:rFonts w:cs="Times New Roman"/>
          <w:szCs w:val="28"/>
        </w:rPr>
        <w:t xml:space="preserve"> S´C´, строим фронтальную проекцию сечения.</w:t>
      </w:r>
      <w:r w:rsidRPr="007E1A39">
        <w:rPr>
          <w:rFonts w:cs="Times New Roman"/>
          <w:color w:val="202124"/>
          <w:szCs w:val="28"/>
          <w:shd w:val="clear" w:color="auto" w:fill="FFFFFF"/>
        </w:rPr>
        <w:t xml:space="preserve"> Методом вращения определяем </w:t>
      </w:r>
      <w:r w:rsidRPr="007E1A39">
        <w:rPr>
          <w:rFonts w:cs="Times New Roman"/>
          <w:color w:val="202124"/>
          <w:szCs w:val="28"/>
          <w:shd w:val="clear" w:color="auto" w:fill="FFFFFF"/>
        </w:rPr>
        <w:lastRenderedPageBreak/>
        <w:t xml:space="preserve">натуральную величину сечения пирамиды. Измерив длину отрезка, </w:t>
      </w:r>
      <w:r w:rsidRPr="007E1A39">
        <w:rPr>
          <w:rFonts w:cs="Times New Roman"/>
          <w:color w:val="202124"/>
          <w:szCs w:val="28"/>
          <w:shd w:val="clear" w:color="auto" w:fill="FFFFFF"/>
          <w:lang w:val="en-US"/>
        </w:rPr>
        <w:t>DE</w:t>
      </w:r>
      <w:r w:rsidRPr="007E1A39">
        <w:rPr>
          <w:rFonts w:cs="Times New Roman"/>
          <w:color w:val="202124"/>
          <w:szCs w:val="28"/>
          <w:shd w:val="clear" w:color="auto" w:fill="FFFFFF"/>
          <w:vertAlign w:val="subscript"/>
        </w:rPr>
        <w:t>0</w:t>
      </w:r>
      <w:r w:rsidRPr="007E1A39">
        <w:rPr>
          <w:rFonts w:cs="Times New Roman"/>
          <w:color w:val="202124"/>
          <w:szCs w:val="28"/>
          <w:shd w:val="clear" w:color="auto" w:fill="FFFFFF"/>
        </w:rPr>
        <w:t xml:space="preserve"> = 17 мм, и, учтя масштаб М:1:1, находим площадь сечения:</w:t>
      </w:r>
    </w:p>
    <w:p w:rsidR="009A3125" w:rsidRPr="007E1A39" w:rsidRDefault="00A0579D" w:rsidP="007E1A39">
      <w:pPr>
        <w:spacing w:after="0" w:line="360" w:lineRule="auto"/>
        <w:ind w:firstLine="709"/>
        <w:jc w:val="center"/>
        <w:rPr>
          <w:rFonts w:cs="Times New Roman"/>
          <w:color w:val="000000" w:themeColor="text1"/>
          <w:szCs w:val="28"/>
        </w:rPr>
      </w:pPr>
      <m:oMathPara>
        <m:oMath>
          <m:sSub>
            <m:sSubPr>
              <m:ctrlPr>
                <w:rPr>
                  <w:rFonts w:ascii="Cambria Math" w:cs="Times New Roman"/>
                  <w:i/>
                  <w:color w:val="000000" w:themeColor="text1"/>
                  <w:szCs w:val="28"/>
                  <w:shd w:val="clear" w:color="auto" w:fill="FFFFFF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Cs w:val="28"/>
                  <w:shd w:val="clear" w:color="auto" w:fill="FFFFFF"/>
                </w:rPr>
                <m:t>S</m:t>
              </m:r>
            </m:e>
            <m:sub>
              <m:sSub>
                <m:sSubPr>
                  <m:ctrlPr>
                    <w:rPr>
                      <w:rFonts w:ascii="Cambria Math" w:cs="Times New Roman"/>
                      <w:i/>
                      <w:color w:val="000000" w:themeColor="text1"/>
                      <w:szCs w:val="28"/>
                      <w:shd w:val="clear" w:color="auto" w:fill="FFFFFF"/>
                    </w:rPr>
                  </m:ctrlPr>
                </m:sSubPr>
                <m:e>
                  <m:r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m:t>∆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Cs w:val="28"/>
                      <w:shd w:val="clear" w:color="auto" w:fill="FFFFFF"/>
                    </w:rPr>
                    <m:t>abe</m:t>
                  </m:r>
                </m:e>
                <m:sub>
                  <m:r>
                    <w:rPr>
                      <w:rFonts w:ascii="Cambria Math" w:cs="Times New Roman"/>
                      <w:color w:val="000000" w:themeColor="text1"/>
                      <w:szCs w:val="28"/>
                      <w:shd w:val="clear" w:color="auto" w:fill="FFFFFF"/>
                    </w:rPr>
                    <m:t>0</m:t>
                  </m:r>
                </m:sub>
              </m:sSub>
            </m:sub>
          </m:sSub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=</m:t>
          </m:r>
          <m:f>
            <m:fPr>
              <m:ctrlPr>
                <w:rPr>
                  <w:rFonts w:ascii="Cambria Math" w:cs="Times New Roman"/>
                  <w:i/>
                  <w:color w:val="000000" w:themeColor="text1"/>
                  <w:szCs w:val="28"/>
                  <w:shd w:val="clear" w:color="auto" w:fill="FFFFFF"/>
                </w:rPr>
              </m:ctrlPr>
            </m:fPr>
            <m:num>
              <m:r>
                <w:rPr>
                  <w:rFonts w:ascii="Cambria Math" w:cs="Times New Roman"/>
                  <w:color w:val="000000" w:themeColor="text1"/>
                  <w:szCs w:val="28"/>
                  <w:shd w:val="clear" w:color="auto" w:fill="FFFFFF"/>
                </w:rPr>
                <m:t>1</m:t>
              </m:r>
            </m:num>
            <m:den>
              <m:r>
                <w:rPr>
                  <w:rFonts w:ascii="Cambria Math" w:cs="Times New Roman"/>
                  <w:color w:val="000000" w:themeColor="text1"/>
                  <w:szCs w:val="28"/>
                  <w:shd w:val="clear" w:color="auto" w:fill="FFFFFF"/>
                </w:rPr>
                <m:t>2</m:t>
              </m:r>
            </m:den>
          </m:f>
          <m:r>
            <w:rPr>
              <w:rFonts w:ascii="Cambria Math" w:hAnsi="Cambria Math" w:cs="Times New Roman"/>
              <w:color w:val="000000" w:themeColor="text1"/>
              <w:szCs w:val="28"/>
              <w:shd w:val="clear" w:color="auto" w:fill="FFFFFF"/>
            </w:rPr>
            <m:t>AB</m:t>
          </m:r>
          <m:r>
            <w:rPr>
              <w:rFonts w:cs="Times New Roman"/>
              <w:color w:val="000000" w:themeColor="text1"/>
              <w:szCs w:val="28"/>
              <w:shd w:val="clear" w:color="auto" w:fill="FFFFFF"/>
            </w:rPr>
            <m:t>∙</m:t>
          </m:r>
          <m:sSub>
            <m:sSubPr>
              <m:ctrlPr>
                <w:rPr>
                  <w:rFonts w:ascii="Cambria Math" w:cs="Times New Roman"/>
                  <w:i/>
                  <w:color w:val="000000" w:themeColor="text1"/>
                  <w:szCs w:val="28"/>
                  <w:shd w:val="clear" w:color="auto" w:fill="FFFFFF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Cs w:val="28"/>
                  <w:shd w:val="clear" w:color="auto" w:fill="FFFFFF"/>
                </w:rPr>
                <m:t>DE</m:t>
              </m:r>
            </m:e>
            <m:sub>
              <m:r>
                <w:rPr>
                  <w:rFonts w:ascii="Cambria Math" w:cs="Times New Roman"/>
                  <w:color w:val="000000" w:themeColor="text1"/>
                  <w:szCs w:val="28"/>
                  <w:shd w:val="clear" w:color="auto" w:fill="FFFFFF"/>
                </w:rPr>
                <m:t>0</m:t>
              </m:r>
            </m:sub>
          </m:sSub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=0,5</m:t>
          </m:r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∙</m:t>
          </m:r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20</m:t>
          </m:r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∙</m:t>
          </m:r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17=170 (</m:t>
          </m:r>
          <m:sSup>
            <m:sSupPr>
              <m:ctrlPr>
                <w:rPr>
                  <w:rFonts w:ascii="Cambria Math" w:cs="Times New Roman"/>
                  <w:i/>
                  <w:color w:val="000000" w:themeColor="text1"/>
                  <w:szCs w:val="28"/>
                  <w:shd w:val="clear" w:color="auto" w:fill="FFFFFF"/>
                </w:rPr>
              </m:ctrlPr>
            </m:sSupPr>
            <m:e>
              <m:r>
                <w:rPr>
                  <w:rFonts w:ascii="Cambria Math" w:cs="Times New Roman"/>
                  <w:color w:val="000000" w:themeColor="text1"/>
                  <w:szCs w:val="28"/>
                  <w:shd w:val="clear" w:color="auto" w:fill="FFFFFF"/>
                </w:rPr>
                <m:t>мм</m:t>
              </m:r>
            </m:e>
            <m:sup>
              <m:r>
                <w:rPr>
                  <w:rFonts w:ascii="Cambria Math" w:cs="Times New Roman"/>
                  <w:color w:val="000000" w:themeColor="text1"/>
                  <w:szCs w:val="28"/>
                  <w:shd w:val="clear" w:color="auto" w:fill="FFFFFF"/>
                </w:rPr>
                <m:t>2</m:t>
              </m:r>
            </m:sup>
          </m:sSup>
          <m:r>
            <w:rPr>
              <w:rFonts w:ascii="Cambria Math" w:cs="Times New Roman"/>
              <w:color w:val="000000" w:themeColor="text1"/>
              <w:szCs w:val="28"/>
              <w:shd w:val="clear" w:color="auto" w:fill="FFFFFF"/>
            </w:rPr>
            <m:t>)</m:t>
          </m:r>
        </m:oMath>
      </m:oMathPara>
    </w:p>
    <w:p w:rsidR="00E91D60" w:rsidRPr="007E1A39" w:rsidRDefault="00E91D60" w:rsidP="007E1A39">
      <w:pPr>
        <w:spacing w:after="0" w:line="360" w:lineRule="auto"/>
        <w:ind w:firstLine="709"/>
        <w:rPr>
          <w:rFonts w:cs="Times New Roman"/>
          <w:szCs w:val="28"/>
        </w:rPr>
      </w:pPr>
      <w:r w:rsidRPr="007E1A39">
        <w:rPr>
          <w:rFonts w:cs="Times New Roman"/>
          <w:szCs w:val="28"/>
        </w:rPr>
        <w:t xml:space="preserve">Приведенный метод решения стереометрических задач развивает учащихся, вызывает у них стремление исследовать, искать, формировать у них правильное представление о роли чертежа в курсе геометрии. </w:t>
      </w:r>
    </w:p>
    <w:p w:rsidR="00B046F1" w:rsidRPr="00E601DC" w:rsidRDefault="00B046F1" w:rsidP="007E1A39">
      <w:pPr>
        <w:spacing w:after="0" w:line="360" w:lineRule="auto"/>
        <w:rPr>
          <w:b/>
          <w:color w:val="000000" w:themeColor="text1"/>
          <w:szCs w:val="28"/>
        </w:rPr>
      </w:pPr>
    </w:p>
    <w:sectPr w:rsidR="00B046F1" w:rsidRPr="00E601DC" w:rsidSect="00A05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46F1"/>
    <w:rsid w:val="000428E5"/>
    <w:rsid w:val="002A422D"/>
    <w:rsid w:val="0069356D"/>
    <w:rsid w:val="007E1A39"/>
    <w:rsid w:val="009A3125"/>
    <w:rsid w:val="009B1E8D"/>
    <w:rsid w:val="00A0579D"/>
    <w:rsid w:val="00B046F1"/>
    <w:rsid w:val="00E601DC"/>
    <w:rsid w:val="00E91D60"/>
    <w:rsid w:val="00F7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F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g-b-5">
    <w:name w:val="mg-b-5"/>
    <w:basedOn w:val="a"/>
    <w:rsid w:val="00B046F1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B046F1"/>
    <w:rPr>
      <w:i/>
      <w:iCs/>
    </w:rPr>
  </w:style>
  <w:style w:type="character" w:styleId="a3">
    <w:name w:val="Placeholder Text"/>
    <w:basedOn w:val="a0"/>
    <w:uiPriority w:val="99"/>
    <w:semiHidden/>
    <w:rsid w:val="00F747E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E1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1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4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Persik</dc:creator>
  <cp:lastModifiedBy>Лидия Сиргажина</cp:lastModifiedBy>
  <cp:revision>2</cp:revision>
  <dcterms:created xsi:type="dcterms:W3CDTF">2022-03-22T14:52:00Z</dcterms:created>
  <dcterms:modified xsi:type="dcterms:W3CDTF">2022-03-22T14:52:00Z</dcterms:modified>
</cp:coreProperties>
</file>