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firstLine="1560" w:left="-1560"/>
        <w:rPr>
          <w:rFonts w:ascii="Times New Roman" w:hAnsi="Times New Roman"/>
          <w:color w:val="000000"/>
          <w:sz w:val="28"/>
          <w:szCs w:val="28"/>
        </w:rPr>
      </w:pPr>
      <w:r>
        <w:rPr>
          <w:rFonts w:ascii="Times New Roman" w:hAnsi="Times New Roman"/>
          <w:color w:val="000000"/>
          <w:sz w:val="28"/>
          <w:szCs w:val="28"/>
        </w:rPr>
      </w:r>
    </w:p>
    <w:p>
      <w:pPr>
        <w:pStyle w:val="Normal"/>
        <w:jc w:val="center"/>
        <w:rPr>
          <w:rFonts w:ascii="Times New Roman" w:hAnsi="Times New Roman"/>
          <w:color w:val="000000"/>
          <w:sz w:val="32"/>
          <w:szCs w:val="32"/>
        </w:rPr>
      </w:pPr>
      <w:r>
        <w:rPr>
          <w:rFonts w:ascii="Times New Roman" w:hAnsi="Times New Roman"/>
          <w:b/>
          <w:bCs/>
          <w:color w:val="000000"/>
          <w:sz w:val="32"/>
          <w:szCs w:val="32"/>
        </w:rPr>
        <w:t>Реализация  и</w:t>
      </w:r>
      <w:r>
        <w:rPr>
          <w:rFonts w:ascii="Times New Roman" w:hAnsi="Times New Roman"/>
          <w:b/>
          <w:bCs/>
          <w:color w:val="000000"/>
          <w:sz w:val="32"/>
          <w:szCs w:val="32"/>
        </w:rPr>
        <w:t>нклюзивно</w:t>
      </w:r>
      <w:r>
        <w:rPr>
          <w:rFonts w:ascii="Times New Roman" w:hAnsi="Times New Roman"/>
          <w:b/>
          <w:bCs/>
          <w:color w:val="000000"/>
          <w:sz w:val="32"/>
          <w:szCs w:val="32"/>
        </w:rPr>
        <w:t>го процесса в</w:t>
      </w:r>
      <w:r>
        <w:rPr>
          <w:rFonts w:ascii="Times New Roman" w:hAnsi="Times New Roman"/>
          <w:b/>
          <w:bCs/>
          <w:color w:val="000000"/>
          <w:sz w:val="32"/>
          <w:szCs w:val="32"/>
        </w:rPr>
        <w:t xml:space="preserve"> </w:t>
      </w:r>
      <w:r>
        <w:rPr>
          <w:rFonts w:ascii="Times New Roman" w:hAnsi="Times New Roman"/>
          <w:b/>
          <w:bCs/>
          <w:color w:val="000000"/>
          <w:sz w:val="32"/>
          <w:szCs w:val="32"/>
        </w:rPr>
        <w:t xml:space="preserve">современном дошкольном </w:t>
      </w:r>
      <w:r>
        <w:rPr>
          <w:rFonts w:ascii="Times New Roman" w:hAnsi="Times New Roman"/>
          <w:b/>
          <w:bCs/>
          <w:color w:val="000000"/>
          <w:sz w:val="32"/>
          <w:szCs w:val="32"/>
        </w:rPr>
        <w:t>образовани</w:t>
      </w:r>
      <w:r>
        <w:rPr>
          <w:rFonts w:ascii="Times New Roman" w:hAnsi="Times New Roman"/>
          <w:b/>
          <w:bCs/>
          <w:color w:val="000000"/>
          <w:sz w:val="32"/>
          <w:szCs w:val="32"/>
        </w:rPr>
        <w:t>и</w:t>
      </w:r>
    </w:p>
    <w:p>
      <w:pPr>
        <w:pStyle w:val="Normal"/>
        <w:jc w:val="center"/>
        <w:rPr>
          <w:rFonts w:ascii="Times New Roman" w:hAnsi="Times New Roman"/>
          <w:color w:val="000000"/>
          <w:sz w:val="32"/>
          <w:szCs w:val="32"/>
        </w:rPr>
      </w:pPr>
      <w:r>
        <w:rPr>
          <w:rFonts w:ascii="Times New Roman" w:hAnsi="Times New Roman"/>
          <w:b/>
          <w:bCs/>
          <w:color w:val="000000"/>
          <w:sz w:val="32"/>
          <w:szCs w:val="32"/>
        </w:rPr>
        <w:t>«Подготовка ребенка к школе на логопедических занятиях с нейропсихологическими элементами для развития межполушарного взаимодействия»</w:t>
      </w:r>
    </w:p>
    <w:p>
      <w:pPr>
        <w:pStyle w:val="Normal"/>
        <w:spacing w:lineRule="auto" w:line="240"/>
        <w:jc w:val="right"/>
        <w:rPr>
          <w:rFonts w:ascii="Times New Roman" w:hAnsi="Times New Roman"/>
          <w:sz w:val="28"/>
          <w:szCs w:val="28"/>
        </w:rPr>
      </w:pPr>
      <w:r>
        <w:rPr>
          <w:rFonts w:cs="Times New Roman" w:ascii="Times New Roman" w:hAnsi="Times New Roman"/>
          <w:i/>
          <w:sz w:val="28"/>
          <w:szCs w:val="28"/>
        </w:rPr>
        <w:t xml:space="preserve">Михайлова Мария Васильевна, воспитатель, </w:t>
      </w:r>
    </w:p>
    <w:p>
      <w:pPr>
        <w:pStyle w:val="Normal"/>
        <w:spacing w:lineRule="auto" w:line="240"/>
        <w:jc w:val="right"/>
        <w:rPr>
          <w:rFonts w:ascii="Times New Roman" w:hAnsi="Times New Roman"/>
          <w:sz w:val="28"/>
          <w:szCs w:val="28"/>
        </w:rPr>
      </w:pPr>
      <w:r>
        <w:rPr>
          <w:rFonts w:cs="Times New Roman" w:ascii="Times New Roman" w:hAnsi="Times New Roman"/>
          <w:i/>
          <w:sz w:val="28"/>
          <w:szCs w:val="28"/>
        </w:rPr>
        <w:t xml:space="preserve">МАДОУ № 216 «Детский сад комбинированного вида» </w:t>
      </w:r>
    </w:p>
    <w:p>
      <w:pPr>
        <w:pStyle w:val="Normal"/>
        <w:spacing w:lineRule="auto" w:line="240"/>
        <w:jc w:val="right"/>
        <w:rPr>
          <w:rFonts w:ascii="Times New Roman" w:hAnsi="Times New Roman"/>
          <w:sz w:val="28"/>
          <w:szCs w:val="28"/>
        </w:rPr>
      </w:pPr>
      <w:r>
        <w:rPr>
          <w:rFonts w:cs="Times New Roman" w:ascii="Times New Roman" w:hAnsi="Times New Roman"/>
          <w:i/>
          <w:sz w:val="28"/>
          <w:szCs w:val="28"/>
        </w:rPr>
        <w:t>г. Кемерово</w:t>
      </w:r>
      <w:r>
        <w:rPr>
          <w:rFonts w:cs="Times New Roman" w:ascii="Times New Roman" w:hAnsi="Times New Roman"/>
          <w:sz w:val="28"/>
          <w:szCs w:val="28"/>
        </w:rPr>
        <w:t xml:space="preserve">, </w:t>
      </w:r>
      <w:r>
        <w:rPr>
          <w:rFonts w:cs="Times New Roman" w:ascii="Times New Roman" w:hAnsi="Times New Roman"/>
          <w:i/>
          <w:sz w:val="28"/>
          <w:szCs w:val="28"/>
        </w:rPr>
        <w:t>Кемеровская область-Кузбасс</w:t>
      </w:r>
    </w:p>
    <w:p>
      <w:pPr>
        <w:pStyle w:val="Normal"/>
        <w:jc w:val="center"/>
        <w:rPr>
          <w:rFonts w:ascii="Times New Roman" w:hAnsi="Times New Roman"/>
          <w:color w:val="000000"/>
          <w:sz w:val="28"/>
          <w:szCs w:val="28"/>
        </w:rPr>
      </w:pPr>
      <w:r>
        <w:rPr/>
        <w:drawing>
          <wp:inline distT="0" distB="0" distL="0" distR="0">
            <wp:extent cx="1431925" cy="1431925"/>
            <wp:effectExtent l="0" t="0" r="0" b="0"/>
            <wp:docPr id="1" name="Рисунок 1" descr="Нейрогимнастика, моз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Нейрогимнастика, мозг"/>
                    <pic:cNvPicPr>
                      <a:picLocks noChangeAspect="1" noChangeArrowheads="1"/>
                    </pic:cNvPicPr>
                  </pic:nvPicPr>
                  <pic:blipFill>
                    <a:blip r:embed="rId2"/>
                    <a:stretch>
                      <a:fillRect/>
                    </a:stretch>
                  </pic:blipFill>
                  <pic:spPr bwMode="auto">
                    <a:xfrm>
                      <a:off x="0" y="0"/>
                      <a:ext cx="1431925" cy="1431925"/>
                    </a:xfrm>
                    <a:prstGeom prst="rect">
                      <a:avLst/>
                    </a:prstGeom>
                    <a:noFill/>
                  </pic:spPr>
                </pic:pic>
              </a:graphicData>
            </a:graphic>
          </wp:inline>
        </w:drawing>
      </w:r>
    </w:p>
    <w:p>
      <w:pPr>
        <w:pStyle w:val="Normal"/>
        <w:jc w:val="both"/>
        <w:rPr>
          <w:rFonts w:ascii="Times New Roman" w:hAnsi="Times New Roman"/>
          <w:color w:val="000000"/>
          <w:sz w:val="28"/>
          <w:szCs w:val="28"/>
        </w:rPr>
      </w:pPr>
      <w:r>
        <w:rPr>
          <w:rFonts w:ascii="Times New Roman" w:hAnsi="Times New Roman"/>
          <w:color w:val="000000"/>
          <w:sz w:val="28"/>
          <w:szCs w:val="28"/>
        </w:rPr>
        <w:tab/>
      </w:r>
      <w:r>
        <w:rPr>
          <w:rFonts w:ascii="MinionPro-Regular" w:hAnsi="MinionPro-Regular"/>
        </w:rPr>
        <w:t xml:space="preserve"> </w:t>
      </w:r>
      <w:r>
        <w:rPr>
          <w:rFonts w:ascii="Times New Roman" w:hAnsi="Times New Roman"/>
          <w:b w:val="false"/>
          <w:i w:val="false"/>
          <w:color w:val="000000"/>
          <w:sz w:val="28"/>
          <w:szCs w:val="28"/>
        </w:rPr>
        <w:t xml:space="preserve">Эффективность формирования коммуникативных умений у детей старшего дошкольного возраста с ОНР обеспечивается в процессе коррекционного воздействия и использования комплекса специальных упражнений, направленных на формирование коммуникативных компетенций и развитие речевых и неречевыхсредств общения. </w:t>
      </w:r>
      <w:r>
        <w:rPr>
          <w:rFonts w:ascii="Times New Roman" w:hAnsi="Times New Roman"/>
          <w:color w:val="000000"/>
          <w:sz w:val="28"/>
          <w:szCs w:val="28"/>
        </w:rPr>
        <w:t xml:space="preserve"> </w:t>
      </w:r>
      <w:r>
        <w:rPr>
          <w:rFonts w:ascii="Times New Roman" w:hAnsi="Times New Roman"/>
          <w:color w:val="000000"/>
          <w:sz w:val="28"/>
          <w:szCs w:val="28"/>
        </w:rPr>
        <w:t>К</w:t>
      </w:r>
      <w:r>
        <w:rPr>
          <w:rFonts w:ascii="Times New Roman" w:hAnsi="Times New Roman"/>
          <w:color w:val="000000"/>
          <w:sz w:val="28"/>
          <w:szCs w:val="28"/>
        </w:rPr>
        <w:t>омплексный подход  может значительно улучшить готовность ребенка к обучению.</w:t>
      </w:r>
      <w:r>
        <w:rPr>
          <w:rFonts w:ascii="Times New Roman" w:hAnsi="Times New Roman"/>
          <w:color w:val="000000"/>
          <w:sz w:val="28"/>
          <w:szCs w:val="28"/>
        </w:rPr>
        <w:t xml:space="preserve"> Межполушарное взаимодействие — это сложная система связей между двумя полушариями мозга, обеспечивающая их скоординированную работу для выполнения различных когнитивных функций. Каждое полушарие специализируется на определенных задачах: левое обычно отвечает за логику, анализ и речь, а правое — за образное мышление, интуицию и пространственное восприятие.</w:t>
      </w:r>
    </w:p>
    <w:p>
      <w:pPr>
        <w:pStyle w:val="Normal"/>
        <w:jc w:val="both"/>
        <w:rPr>
          <w:rFonts w:ascii="Times New Roman" w:hAnsi="Times New Roman"/>
          <w:color w:val="000000"/>
          <w:sz w:val="28"/>
          <w:szCs w:val="28"/>
        </w:rPr>
      </w:pPr>
      <w:r>
        <w:rPr>
          <w:rFonts w:ascii="Times New Roman" w:hAnsi="Times New Roman"/>
          <w:color w:val="000000"/>
          <w:sz w:val="28"/>
          <w:szCs w:val="28"/>
        </w:rPr>
        <w:tab/>
        <w:t>Эффективное межполушарное взаимодействие позволяет интегрировать информацию, обрабатываемую каждым полушарием по отдельности, в единую картину. Благодаря этому мы можем одновременно анализировать детали и видеть общую картину, использовать логику и интуицию для принятия решений, а также координировать движения тела.</w:t>
      </w:r>
    </w:p>
    <w:p>
      <w:pPr>
        <w:pStyle w:val="Normal"/>
        <w:jc w:val="both"/>
        <w:rPr>
          <w:rFonts w:ascii="Times New Roman" w:hAnsi="Times New Roman"/>
          <w:color w:val="000000"/>
          <w:sz w:val="28"/>
          <w:szCs w:val="28"/>
        </w:rPr>
      </w:pPr>
      <w:r>
        <w:rPr>
          <w:rFonts w:ascii="Times New Roman" w:hAnsi="Times New Roman"/>
          <w:color w:val="000000"/>
          <w:sz w:val="28"/>
          <w:szCs w:val="28"/>
        </w:rPr>
        <w:tab/>
        <w:t>Межполушарное взаимодействие — основа успешного развития речи и обучения в школе. Конечный мозг состоит из 2-х полушарий (левого, правого) и коммисурных спаечных нервных волокон. Левое и правое полушария объединяются тремя коммиссурами, из которых самая большая — мозолистое тело. Мозолистое тело как одна из самых крупных коммисур, участвующая в осуществлении межполушарного взаимодействия. Комиссуры спайки, скопление нервных волокон, которые соединяют два полушария между собой и обеспечивают парную работу мозга. Правое полушарие характеризуется одномоментным принципом обработки информации - узнавание знакомых объектов. Функционирует по принципу непосредственного чувственного целостного отражения действительности. Функции, связанные с деятельностью правого полушария, эволюционно старые, появляются в онтогенезе раньше, к 5ти годам оно уже зрело. Зрительно-пространственный гнозис, неречевой слуховой гнозис, узнавание ритмических структур, удержание в памяти порядка предъявляемых стимулов (слова, картинки), соматогнозис, лицевой гнозис, образы. дифференциация эмоций, конкретно-ситуативное мышление Левое полушарие характеризуется последовательным принципом обработки информации: восприятие речи (звуки речи, слова, фразы мы слышим по мере их поступления), самостоятельное высказывание, двигательные навыки и другие действия, выполняемые в соответствии с программой, оценка приближающегося или удаляющегося звука Левое полушарие, получая образы от правого полушария, подвергает их абстрактно-логическому анализу, в котором определяется сходство, различия между предметами, событиями, обрабатывается речевая информация. Функции, присущие левому полушарию, эволюционно молодые и появляются позднее в онтогенезе: речь, письмо, самосознание, абстрактно-логическое мышление-анализ, синтез, классификация, сравнение, обобщение, счет, регуляция, контроль, программирование собственной психической деятельности.</w:t>
      </w:r>
    </w:p>
    <w:p>
      <w:pPr>
        <w:pStyle w:val="Normal"/>
        <w:jc w:val="both"/>
        <w:rPr>
          <w:rFonts w:ascii="Times New Roman" w:hAnsi="Times New Roman"/>
          <w:color w:val="000000"/>
          <w:sz w:val="28"/>
          <w:szCs w:val="28"/>
        </w:rPr>
      </w:pPr>
      <w:r>
        <w:rPr>
          <w:rFonts w:ascii="Times New Roman" w:hAnsi="Times New Roman"/>
          <w:color w:val="000000"/>
          <w:sz w:val="28"/>
          <w:szCs w:val="28"/>
        </w:rPr>
        <w:tab/>
        <w:t>В осуществлении любой психической функции (сенсорной, моторной, гностической, мнестической, интеллектуальной) принимают участие оба полушария. Каждое полушарие вносит при этом свой вклад. Межполушарное взаимодействие представляет собой диалог, разговор двух полушарий при осуществлении любой психической или моторной деятельности. В этом разговоре они обмениваются информацией и выбирают оптимальный для данных конкретных условий режим функционирования, который связан с обработкой информации.</w:t>
      </w:r>
    </w:p>
    <w:p>
      <w:pPr>
        <w:pStyle w:val="Normal"/>
        <w:jc w:val="both"/>
        <w:rPr>
          <w:rFonts w:ascii="Times New Roman" w:hAnsi="Times New Roman"/>
          <w:color w:val="000000"/>
          <w:sz w:val="28"/>
          <w:szCs w:val="28"/>
        </w:rPr>
      </w:pPr>
      <w:r>
        <w:rPr>
          <w:rFonts w:ascii="Times New Roman" w:hAnsi="Times New Roman"/>
          <w:color w:val="000000"/>
          <w:sz w:val="28"/>
          <w:szCs w:val="28"/>
        </w:rPr>
        <w:tab/>
        <w:t>Почему важно развивать межполушарное взаимодействие? Нарушения межполушарного взаимодействия могут приводить к трудностям в обучении, координации, концентрации внимания и эмоциональной регуляции. Развитие межполушарных связей особенно важно в дошкольном возрасте при подготовке к школе при формировании когнитивных навыков. Для этого мы используем различные упражнения и игры, направленные на синхронизацию обоих полушарий.</w:t>
      </w:r>
    </w:p>
    <w:p>
      <w:pPr>
        <w:pStyle w:val="NormalWeb"/>
        <w:spacing w:beforeAutospacing="0" w:before="120" w:afterAutospacing="0" w:after="120"/>
        <w:ind w:firstLine="438"/>
        <w:jc w:val="center"/>
        <w:rPr/>
      </w:pPr>
      <w:r>
        <w:rPr>
          <w:rStyle w:val="Strong"/>
          <w:color w:val="000000"/>
          <w:sz w:val="28"/>
          <w:szCs w:val="28"/>
        </w:rPr>
        <w:t>Литература</w:t>
      </w:r>
      <w:r>
        <w:rPr>
          <w:color w:val="000000"/>
          <w:sz w:val="28"/>
          <w:szCs w:val="28"/>
        </w:rPr>
        <w:t> </w:t>
      </w:r>
    </w:p>
    <w:p>
      <w:pPr>
        <w:pStyle w:val="Normal"/>
        <w:numPr>
          <w:ilvl w:val="0"/>
          <w:numId w:val="1"/>
        </w:numPr>
        <w:spacing w:lineRule="auto" w:line="240" w:beforeAutospacing="1" w:after="0"/>
        <w:ind w:hanging="360" w:left="0"/>
        <w:jc w:val="both"/>
        <w:rPr>
          <w:rFonts w:ascii="Times New Roman" w:hAnsi="Times New Roman"/>
          <w:color w:val="000000"/>
          <w:sz w:val="28"/>
          <w:szCs w:val="28"/>
        </w:rPr>
      </w:pPr>
      <w:r>
        <w:rPr>
          <w:rFonts w:ascii="Times New Roman" w:hAnsi="Times New Roman"/>
          <w:color w:val="000000"/>
          <w:sz w:val="28"/>
          <w:szCs w:val="28"/>
        </w:rPr>
        <w:t>Колганова В. С., Пивоварова Е. В. Нейропсихологические занятия с детьми. – М.: Айрис-Пресс, 2023. – 416 с.</w:t>
      </w:r>
    </w:p>
    <w:p>
      <w:pPr>
        <w:pStyle w:val="Normal"/>
        <w:numPr>
          <w:ilvl w:val="0"/>
          <w:numId w:val="1"/>
        </w:numPr>
        <w:spacing w:lineRule="auto" w:line="240" w:before="0" w:after="0"/>
        <w:ind w:hanging="360" w:left="0"/>
        <w:jc w:val="both"/>
        <w:rPr>
          <w:rFonts w:ascii="Times New Roman" w:hAnsi="Times New Roman"/>
          <w:color w:val="000000"/>
          <w:sz w:val="28"/>
          <w:szCs w:val="28"/>
        </w:rPr>
      </w:pPr>
      <w:r>
        <w:rPr>
          <w:rFonts w:ascii="Times New Roman" w:hAnsi="Times New Roman"/>
          <w:color w:val="000000"/>
          <w:sz w:val="28"/>
          <w:szCs w:val="28"/>
        </w:rPr>
        <w:t>Коноваленко С. В., Кременецкая М. И. Развитие психофизиологической базы речи у детей дошкольного возраста с нарушениями развития. СПб.: ООО «ИЗДАТЕЛЬСТВО «Детство-пресс», 2019. – 128 с.</w:t>
      </w:r>
    </w:p>
    <w:p>
      <w:pPr>
        <w:pStyle w:val="Normal"/>
        <w:numPr>
          <w:ilvl w:val="0"/>
          <w:numId w:val="1"/>
        </w:numPr>
        <w:spacing w:lineRule="auto" w:line="240" w:before="0" w:after="0"/>
        <w:ind w:hanging="360" w:left="0"/>
        <w:jc w:val="both"/>
        <w:rPr>
          <w:rFonts w:ascii="Times New Roman" w:hAnsi="Times New Roman"/>
          <w:color w:val="000000"/>
          <w:sz w:val="28"/>
          <w:szCs w:val="28"/>
        </w:rPr>
      </w:pPr>
      <w:r>
        <w:rPr>
          <w:rFonts w:ascii="Times New Roman" w:hAnsi="Times New Roman"/>
          <w:color w:val="000000"/>
          <w:sz w:val="28"/>
          <w:szCs w:val="28"/>
        </w:rPr>
        <w:t>Нищева Н. В. Родителям о речи ребенка. – СПб., ДЕТСТВО-ПРЕСС, 2014. – ISBN: 978-5-89814-424-1.</w:t>
      </w:r>
    </w:p>
    <w:p>
      <w:pPr>
        <w:pStyle w:val="Normal"/>
        <w:numPr>
          <w:ilvl w:val="0"/>
          <w:numId w:val="1"/>
        </w:numPr>
        <w:spacing w:lineRule="auto" w:line="240" w:before="0" w:afterAutospacing="1"/>
        <w:ind w:hanging="360" w:left="0"/>
        <w:jc w:val="both"/>
        <w:rPr>
          <w:rFonts w:ascii="Times New Roman" w:hAnsi="Times New Roman"/>
          <w:color w:val="000000"/>
          <w:sz w:val="28"/>
          <w:szCs w:val="28"/>
        </w:rPr>
      </w:pPr>
      <w:r>
        <w:rPr>
          <w:rFonts w:ascii="Times New Roman" w:hAnsi="Times New Roman"/>
          <w:color w:val="000000"/>
          <w:sz w:val="28"/>
          <w:szCs w:val="28"/>
        </w:rPr>
        <w:t>Семенович А. В. Нейропсихологическая коррекция в детском возрасте. Метод замещающего онтогенеза: Учебное пособие. – М.: Генезис, 2021. – 474 с.</w:t>
      </w:r>
    </w:p>
    <w:p>
      <w:pPr>
        <w:pStyle w:val="Normal"/>
        <w:rPr>
          <w:rFonts w:ascii="Times New Roman" w:hAnsi="Times New Roman"/>
          <w:color w:val="000000"/>
          <w:sz w:val="28"/>
          <w:szCs w:val="28"/>
        </w:rPr>
      </w:pPr>
      <w:r>
        <w:rPr>
          <w:rFonts w:ascii="Times New Roman" w:hAnsi="Times New Roman"/>
          <w:color w:val="000000"/>
          <w:sz w:val="28"/>
          <w:szCs w:val="28"/>
        </w:rPr>
      </w:r>
    </w:p>
    <w:p>
      <w:pPr>
        <w:pStyle w:val="Normal"/>
        <w:rPr>
          <w:rFonts w:ascii="Times New Roman" w:hAnsi="Times New Roman"/>
          <w:color w:val="000000"/>
          <w:sz w:val="28"/>
          <w:szCs w:val="28"/>
        </w:rPr>
      </w:pPr>
      <w:r>
        <w:rPr>
          <w:rFonts w:ascii="Times New Roman" w:hAnsi="Times New Roman"/>
          <w:color w:val="000000"/>
          <w:sz w:val="28"/>
          <w:szCs w:val="28"/>
        </w:rPr>
      </w:r>
    </w:p>
    <w:p>
      <w:pPr>
        <w:pStyle w:val="Normal"/>
        <w:rPr>
          <w:rFonts w:ascii="Times New Roman" w:hAnsi="Times New Roman"/>
          <w:color w:val="000000"/>
          <w:sz w:val="28"/>
          <w:szCs w:val="28"/>
        </w:rPr>
      </w:pPr>
      <w:r>
        <w:rPr>
          <w:rFonts w:ascii="Times New Roman" w:hAnsi="Times New Roman"/>
          <w:color w:val="000000"/>
          <w:sz w:val="28"/>
          <w:szCs w:val="28"/>
        </w:rPr>
      </w:r>
    </w:p>
    <w:p>
      <w:pPr>
        <w:pStyle w:val="Normal"/>
        <w:rPr>
          <w:rFonts w:ascii="Times New Roman" w:hAnsi="Times New Roman"/>
          <w:color w:val="000000"/>
          <w:sz w:val="28"/>
          <w:szCs w:val="28"/>
        </w:rPr>
      </w:pPr>
      <w:r>
        <w:rPr>
          <w:rFonts w:ascii="Times New Roman" w:hAnsi="Times New Roman"/>
          <w:color w:val="000000"/>
          <w:sz w:val="28"/>
          <w:szCs w:val="28"/>
        </w:rPr>
      </w:r>
    </w:p>
    <w:p>
      <w:pPr>
        <w:pStyle w:val="Normal"/>
        <w:rPr>
          <w:rFonts w:ascii="Times New Roman" w:hAnsi="Times New Roman"/>
          <w:color w:val="000000"/>
          <w:sz w:val="28"/>
          <w:szCs w:val="28"/>
        </w:rPr>
      </w:pPr>
      <w:r>
        <w:rPr>
          <w:rFonts w:ascii="Times New Roman" w:hAnsi="Times New Roman"/>
          <w:color w:val="000000"/>
          <w:sz w:val="28"/>
          <w:szCs w:val="28"/>
        </w:rPr>
      </w:r>
    </w:p>
    <w:p>
      <w:pPr>
        <w:pStyle w:val="Normal"/>
        <w:rPr>
          <w:rFonts w:ascii="Times New Roman" w:hAnsi="Times New Roman"/>
          <w:color w:val="000000"/>
          <w:sz w:val="28"/>
          <w:szCs w:val="28"/>
        </w:rPr>
      </w:pPr>
      <w:r>
        <w:rPr>
          <w:rFonts w:ascii="Times New Roman" w:hAnsi="Times New Roman"/>
          <w:color w:val="000000"/>
          <w:sz w:val="28"/>
          <w:szCs w:val="28"/>
        </w:rPr>
      </w:r>
    </w:p>
    <w:p>
      <w:pPr>
        <w:pStyle w:val="Normal"/>
        <w:spacing w:before="0" w:after="200"/>
        <w:rPr>
          <w:rFonts w:ascii="Times New Roman" w:hAnsi="Times New Roman"/>
          <w:color w:val="000000"/>
          <w:sz w:val="28"/>
          <w:szCs w:val="28"/>
        </w:rPr>
      </w:pPr>
      <w:r>
        <w:rPr>
          <w:rFonts w:ascii="Times New Roman" w:hAnsi="Times New Roman"/>
          <w:color w:val="000000"/>
          <w:sz w:val="28"/>
          <w:szCs w:val="28"/>
        </w:rPr>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swiss"/>
    <w:pitch w:val="variable"/>
  </w:font>
  <w:font w:name="Liberation Sans">
    <w:altName w:val="Arial"/>
    <w:charset w:val="cc"/>
    <w:family w:val="swiss"/>
    <w:pitch w:val="variable"/>
  </w:font>
  <w:font w:name="Times New Roman">
    <w:charset w:val="cc"/>
    <w:family w:val="roman"/>
    <w:pitch w:val="variable"/>
  </w:font>
  <w:font w:name="MinionPro-Regular">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86"/>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f5176"/>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semiHidden/>
    <w:unhideWhenUsed/>
    <w:rsid w:val="008801fa"/>
    <w:rPr>
      <w:color w:val="0000FF"/>
      <w:u w:val="single"/>
    </w:rPr>
  </w:style>
  <w:style w:type="character" w:styleId="Style14" w:customStyle="1">
    <w:name w:val="Текст выноски Знак"/>
    <w:basedOn w:val="DefaultParagraphFont"/>
    <w:link w:val="BalloonText"/>
    <w:uiPriority w:val="99"/>
    <w:semiHidden/>
    <w:qFormat/>
    <w:rsid w:val="008801fa"/>
    <w:rPr>
      <w:rFonts w:ascii="Tahoma" w:hAnsi="Tahoma" w:cs="Tahoma"/>
      <w:sz w:val="16"/>
      <w:szCs w:val="16"/>
    </w:rPr>
  </w:style>
  <w:style w:type="character" w:styleId="Strong">
    <w:name w:val="Strong"/>
    <w:basedOn w:val="DefaultParagraphFont"/>
    <w:qFormat/>
    <w:rPr>
      <w:b/>
      <w:bCs/>
    </w:rPr>
  </w:style>
  <w:style w:type="paragraph" w:styleId="Style15">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BalloonText">
    <w:name w:val="Balloon Text"/>
    <w:basedOn w:val="Normal"/>
    <w:link w:val="Style14"/>
    <w:uiPriority w:val="99"/>
    <w:semiHidden/>
    <w:unhideWhenUsed/>
    <w:qFormat/>
    <w:rsid w:val="008801fa"/>
    <w:pPr>
      <w:spacing w:lineRule="auto" w:line="240" w:before="0" w:after="0"/>
    </w:pPr>
    <w:rPr>
      <w:rFonts w:ascii="Tahoma" w:hAnsi="Tahoma" w:cs="Tahoma"/>
      <w:sz w:val="16"/>
      <w:szCs w:val="16"/>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rPr>
  </w:style>
  <w:style w:type="numbering" w:styleId="Style17" w:default="1">
    <w:name w:val="Без списка"/>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32</TotalTime>
  <Application>LibreOffice/25.8.5.2$Windows_X86_64 LibreOffice_project/9c8b85f387cc00a89945a79c9e6239f32e450ac2</Application>
  <AppVersion>15.0000</AppVersion>
  <Pages>3</Pages>
  <Words>546</Words>
  <Characters>4219</Characters>
  <CharactersWithSpaces>4769</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2025-06-16T15:46:00Z</dcterms:created>
  <dc:creator>Пользователь Windows</dc:creator>
  <dc:description/>
  <dc:language>ru-RU</dc:language>
  <cp:lastModifiedBy/>
  <dcterms:modified xsi:type="dcterms:W3CDTF">2026-04-15T15:23:34Z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