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p w14:paraId="02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36"/>
        </w:rPr>
        <w:t xml:space="preserve">  </w:t>
      </w:r>
      <w:r>
        <w:rPr>
          <w:rFonts w:ascii="Times New Roman" w:hAnsi="Times New Roman"/>
          <w:b w:val="1"/>
          <w:sz w:val="36"/>
        </w:rPr>
        <w:t xml:space="preserve"> </w:t>
      </w:r>
      <w:r>
        <w:rPr>
          <w:rFonts w:ascii="Times New Roman" w:hAnsi="Times New Roman"/>
          <w:b w:val="1"/>
          <w:sz w:val="36"/>
        </w:rPr>
        <w:t>Представление педагогического опыта по теме </w:t>
      </w:r>
    </w:p>
    <w:p w14:paraId="03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«Использование дидактических игр в работе по развитию речи у детей раннего возраста» в 2026 году базируется на актуальных требованиях ФОП ДО (Федеральной образовательной программы дошкольного образования).</w:t>
      </w:r>
      <w:bookmarkStart w:id="1" w:name="_GoBack"/>
      <w:bookmarkEnd w:id="1"/>
    </w:p>
    <w:p w14:paraId="04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1. Актуальность</w:t>
      </w:r>
      <w:r>
        <w:rPr>
          <w:rFonts w:ascii="Times New Roman" w:hAnsi="Times New Roman"/>
          <w:sz w:val="36"/>
        </w:rPr>
        <w:t xml:space="preserve"> В возрасте 2–3 лет происходит переход от </w:t>
      </w:r>
      <w:r>
        <w:rPr>
          <w:rFonts w:ascii="Times New Roman" w:hAnsi="Times New Roman"/>
          <w:sz w:val="36"/>
        </w:rPr>
        <w:t>довербального</w:t>
      </w:r>
      <w:r>
        <w:rPr>
          <w:rFonts w:ascii="Times New Roman" w:hAnsi="Times New Roman"/>
          <w:sz w:val="36"/>
        </w:rPr>
        <w:t xml:space="preserve"> общения (предречевой этап взаимодействия, особенно у младенцев, когда они общаются без слов с помощью крика, </w:t>
      </w:r>
      <w:r>
        <w:rPr>
          <w:rFonts w:ascii="Times New Roman" w:hAnsi="Times New Roman"/>
          <w:sz w:val="36"/>
        </w:rPr>
        <w:t>гуления</w:t>
      </w:r>
      <w:r>
        <w:rPr>
          <w:rFonts w:ascii="Times New Roman" w:hAnsi="Times New Roman"/>
          <w:sz w:val="36"/>
        </w:rPr>
        <w:t xml:space="preserve">, лепета, мимики и жестов, закладывая основы для будущей речи, а в более широком смысле — это общение без слов, основанное на невербальных сигналах, понимании интонации и </w:t>
      </w:r>
      <w:r>
        <w:rPr>
          <w:rFonts w:ascii="Times New Roman" w:hAnsi="Times New Roman"/>
          <w:sz w:val="36"/>
        </w:rPr>
        <w:t>эмоций)  к</w:t>
      </w:r>
      <w:r>
        <w:rPr>
          <w:rFonts w:ascii="Times New Roman" w:hAnsi="Times New Roman"/>
          <w:sz w:val="36"/>
        </w:rPr>
        <w:t xml:space="preserve"> активной речи. Дидактическая игра является ведущим методом, так как она позволяет совместить обучение с естественной для ребенка деятельностью.</w:t>
      </w:r>
    </w:p>
    <w:p w14:paraId="05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2. Цели и задачи</w:t>
      </w:r>
    </w:p>
    <w:p w14:paraId="06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Цель: Формирование речевой активности и расширение словаря через игровые методы.</w:t>
      </w:r>
    </w:p>
    <w:p w14:paraId="07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Задачи:</w:t>
      </w:r>
    </w:p>
    <w:p w14:paraId="08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Активизировать пассивный и активный словарь (существительные, глаголы).</w:t>
      </w:r>
    </w:p>
    <w:p w14:paraId="09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Развивать артикуляционный аппарат и мелкую моторику.</w:t>
      </w:r>
    </w:p>
    <w:p w14:paraId="0A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Формировать умение понимать инструкции взрослого и отвечать на простые вопросы.</w:t>
      </w:r>
    </w:p>
    <w:p w14:paraId="0B000000">
      <w:pPr>
        <w:spacing w:after="150" w:line="420" w:lineRule="atLeast"/>
        <w:ind/>
        <w:rPr>
          <w:rFonts w:ascii="Times New Roman" w:hAnsi="Times New Roman"/>
          <w:b w:val="1"/>
          <w:sz w:val="36"/>
        </w:rPr>
      </w:pPr>
    </w:p>
    <w:p w14:paraId="0C000000">
      <w:pPr>
        <w:spacing w:after="150" w:line="420" w:lineRule="atLeast"/>
        <w:ind/>
        <w:rPr>
          <w:rFonts w:ascii="Times New Roman" w:hAnsi="Times New Roman"/>
          <w:b w:val="1"/>
          <w:sz w:val="36"/>
        </w:rPr>
      </w:pPr>
    </w:p>
    <w:p w14:paraId="0D000000">
      <w:pPr>
        <w:spacing w:after="150" w:line="420" w:lineRule="atLeast"/>
        <w:ind/>
        <w:rPr>
          <w:rFonts w:ascii="Times New Roman" w:hAnsi="Times New Roman"/>
          <w:b w:val="1"/>
          <w:sz w:val="36"/>
        </w:rPr>
      </w:pPr>
    </w:p>
    <w:p w14:paraId="0E000000">
      <w:pPr>
        <w:spacing w:after="150" w:line="420" w:lineRule="atLeast"/>
        <w:ind/>
        <w:rPr>
          <w:rFonts w:ascii="Times New Roman" w:hAnsi="Times New Roman"/>
          <w:b w:val="1"/>
          <w:sz w:val="36"/>
        </w:rPr>
      </w:pPr>
    </w:p>
    <w:p w14:paraId="0F000000">
      <w:pPr>
        <w:spacing w:after="150" w:line="420" w:lineRule="atLeast"/>
        <w:ind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Структура дидактической игры</w:t>
      </w:r>
    </w:p>
    <w:p w14:paraId="10000000">
      <w:pPr>
        <w:numPr>
          <w:ilvl w:val="0"/>
          <w:numId w:val="1"/>
        </w:numPr>
        <w:spacing w:after="180" w:line="360" w:lineRule="atLeast"/>
        <w:ind w:left="0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Дидактическая задача:</w:t>
      </w:r>
      <w:r>
        <w:rPr>
          <w:rFonts w:ascii="Times New Roman" w:hAnsi="Times New Roman"/>
          <w:sz w:val="36"/>
        </w:rPr>
        <w:t> чему учит игра.</w:t>
      </w:r>
    </w:p>
    <w:p w14:paraId="11000000">
      <w:pPr>
        <w:numPr>
          <w:ilvl w:val="0"/>
          <w:numId w:val="1"/>
        </w:numPr>
        <w:spacing w:after="180" w:line="360" w:lineRule="atLeast"/>
        <w:ind w:left="0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Игровые действия:</w:t>
      </w:r>
      <w:r>
        <w:rPr>
          <w:rFonts w:ascii="Times New Roman" w:hAnsi="Times New Roman"/>
          <w:sz w:val="36"/>
        </w:rPr>
        <w:t> что делают дети.</w:t>
      </w:r>
    </w:p>
    <w:p w14:paraId="12000000">
      <w:pPr>
        <w:numPr>
          <w:ilvl w:val="0"/>
          <w:numId w:val="1"/>
        </w:numPr>
        <w:spacing w:after="180" w:line="360" w:lineRule="atLeast"/>
        <w:ind w:left="0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Игровые правила:</w:t>
      </w:r>
      <w:r>
        <w:rPr>
          <w:rFonts w:ascii="Times New Roman" w:hAnsi="Times New Roman"/>
          <w:sz w:val="36"/>
        </w:rPr>
        <w:t> как играть.</w:t>
      </w:r>
    </w:p>
    <w:p w14:paraId="13000000">
      <w:pPr>
        <w:numPr>
          <w:ilvl w:val="0"/>
          <w:numId w:val="1"/>
        </w:numPr>
        <w:spacing w:after="180" w:line="360" w:lineRule="atLeast"/>
        <w:ind w:left="0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Результат:</w:t>
      </w:r>
      <w:r>
        <w:rPr>
          <w:rFonts w:ascii="Times New Roman" w:hAnsi="Times New Roman"/>
          <w:sz w:val="36"/>
        </w:rPr>
        <w:t> итог игры.</w:t>
      </w:r>
    </w:p>
    <w:p w14:paraId="14000000">
      <w:pPr>
        <w:numPr>
          <w:ilvl w:val="0"/>
          <w:numId w:val="1"/>
        </w:numPr>
        <w:spacing w:after="180" w:line="360" w:lineRule="atLeast"/>
        <w:ind w:left="0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Дидактический материал:</w:t>
      </w:r>
      <w:r>
        <w:rPr>
          <w:rFonts w:ascii="Times New Roman" w:hAnsi="Times New Roman"/>
          <w:sz w:val="36"/>
        </w:rPr>
        <w:t> пособия (картинки, кубики, игрушки). </w:t>
      </w:r>
    </w:p>
    <w:p w14:paraId="15000000">
      <w:pPr>
        <w:spacing w:after="180" w:line="360" w:lineRule="atLeast"/>
        <w:ind w:left="0"/>
        <w:rPr>
          <w:rFonts w:ascii="Times New Roman" w:hAnsi="Times New Roman"/>
          <w:sz w:val="36"/>
        </w:rPr>
      </w:pPr>
    </w:p>
    <w:p w14:paraId="16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3. Основные направления работы</w:t>
      </w:r>
      <w:r>
        <w:rPr>
          <w:rFonts w:ascii="Times New Roman" w:hAnsi="Times New Roman"/>
          <w:sz w:val="36"/>
        </w:rPr>
        <w:t xml:space="preserve"> (виды игр)</w:t>
      </w:r>
    </w:p>
    <w:p w14:paraId="17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А. Игры на развитие слухового внимания и фонематического слуха</w:t>
      </w:r>
    </w:p>
    <w:p w14:paraId="18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Примеры: «Угадай, что звучит?», «Кто как кричит?», «Тихо — громко».</w:t>
      </w:r>
    </w:p>
    <w:p w14:paraId="19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Результат: Ребенок учится различать звуки природы, голоса животных и темп речи.</w:t>
      </w:r>
    </w:p>
    <w:p w14:paraId="1A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Б. Игры на расширение и активацию словаря</w:t>
      </w:r>
    </w:p>
    <w:p w14:paraId="1B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Примеры: «Чудесный мешочек», «Назови, что покажу», «Одень куклу на прогулку».</w:t>
      </w:r>
    </w:p>
    <w:p w14:paraId="1C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Результат: Усвоение названий предметов, их свойств (цвет, размер) и действий.</w:t>
      </w:r>
    </w:p>
    <w:p w14:paraId="1D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В. Игры на развитие грамматического строя речи</w:t>
      </w:r>
    </w:p>
    <w:p w14:paraId="1E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Примеры: «Один — много», «Большой — маленький» (использование уменьшительно-ласкательных суффиксов).</w:t>
      </w:r>
    </w:p>
    <w:p w14:paraId="1F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Результат: Первичные навыки словоизменения.</w:t>
      </w:r>
    </w:p>
    <w:p w14:paraId="20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Г. Игры на развитие мелкой моторики (</w:t>
      </w:r>
      <w:r>
        <w:rPr>
          <w:rFonts w:ascii="Times New Roman" w:hAnsi="Times New Roman"/>
          <w:b w:val="1"/>
          <w:sz w:val="36"/>
        </w:rPr>
        <w:t>сенсомоторика</w:t>
      </w:r>
      <w:r>
        <w:rPr>
          <w:rFonts w:ascii="Times New Roman" w:hAnsi="Times New Roman"/>
          <w:b w:val="1"/>
          <w:sz w:val="36"/>
        </w:rPr>
        <w:t>)</w:t>
      </w:r>
    </w:p>
    <w:p w14:paraId="21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Примеры: Игры с прищепками, шнуровки, сенсорные коробки, пальчиковая гимнастика.</w:t>
      </w:r>
    </w:p>
    <w:p w14:paraId="22000000">
      <w:pPr>
        <w:spacing w:after="0" w:before="116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 xml:space="preserve">Работу по развитию движений пальцев и всей кисти провожу в течение всего дня: во время утренней гимнастики, образовательной деятельности, в </w:t>
      </w:r>
      <w:r>
        <w:rPr>
          <w:rFonts w:ascii="Times New Roman" w:hAnsi="Times New Roman"/>
          <w:sz w:val="36"/>
        </w:rPr>
        <w:t>совместной деятельности</w:t>
      </w:r>
      <w:r>
        <w:rPr>
          <w:rFonts w:ascii="Times New Roman" w:hAnsi="Times New Roman"/>
          <w:sz w:val="36"/>
        </w:rPr>
        <w:t> в утренний и вечерний отрезок времени. Упражнения подбираю так, чтобы в них содержалось больше разнообразных движений пальцами.</w:t>
      </w:r>
    </w:p>
    <w:p w14:paraId="23000000">
      <w:pPr>
        <w:spacing w:after="240" w:line="240" w:lineRule="auto"/>
        <w:ind/>
        <w:rPr>
          <w:rFonts w:ascii="Times New Roman" w:hAnsi="Times New Roman"/>
          <w:sz w:val="36"/>
          <w:u w:val="single"/>
        </w:rPr>
      </w:pPr>
      <w:r>
        <w:rPr>
          <w:rFonts w:ascii="Times New Roman" w:hAnsi="Times New Roman"/>
          <w:i w:val="1"/>
          <w:sz w:val="36"/>
          <w:u w:val="single"/>
        </w:rPr>
        <w:t>Примеры пальчиковых игр</w:t>
      </w:r>
    </w:p>
    <w:p w14:paraId="24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«Как живёшь?»</w:t>
      </w:r>
    </w:p>
    <w:p w14:paraId="25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 Как живёшь? - Вот так! (показать большой палец)</w:t>
      </w:r>
    </w:p>
    <w:p w14:paraId="26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 А идешь? - Вот так! («шагать» пальчиками по столу)</w:t>
      </w:r>
    </w:p>
    <w:p w14:paraId="27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</w:t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sz w:val="36"/>
        </w:rPr>
        <w:t>Как даешь? - Вот так! (протягивать открытую ладонь)</w:t>
      </w:r>
    </w:p>
    <w:p w14:paraId="28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 Ждёшь обед? - Вот так! (кулачок подпирает лицо)</w:t>
      </w:r>
    </w:p>
    <w:p w14:paraId="29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 Машешь вслед? - Вот так! (помахать рукой)</w:t>
      </w:r>
    </w:p>
    <w:p w14:paraId="2A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-</w:t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sz w:val="36"/>
        </w:rPr>
        <w:t>Утром спишь? - Вот так! (2 ладошки под щекой)</w:t>
      </w:r>
    </w:p>
    <w:p w14:paraId="2B000000">
      <w:pPr>
        <w:spacing w:after="0" w:before="116" w:line="240" w:lineRule="auto"/>
        <w:ind/>
        <w:rPr>
          <w:rFonts w:ascii="Times New Roman" w:hAnsi="Times New Roman"/>
          <w:sz w:val="36"/>
        </w:rPr>
      </w:pPr>
    </w:p>
    <w:p w14:paraId="2C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Связь: Стимуляция речевых центров головного мозга через кончики пальцев.</w:t>
      </w:r>
    </w:p>
    <w:p w14:paraId="2D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4. Организация развивающей среды</w:t>
      </w:r>
    </w:p>
    <w:p w14:paraId="2E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В 2026 году акцент делается на вариативность и эстетику:</w:t>
      </w:r>
    </w:p>
    <w:p w14:paraId="2F000000">
      <w:pPr>
        <w:ind w:firstLine="0" w:left="-142" w:right="0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Использование пособий из натуральных материалов (дерево, фетр).</w:t>
      </w:r>
    </w:p>
    <w:p w14:paraId="30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Наличие «Речевого уголка» с наборами картинок, перчаточными куклами и дидактическими пособиями типа «</w:t>
      </w:r>
      <w:r>
        <w:rPr>
          <w:rFonts w:ascii="Times New Roman" w:hAnsi="Times New Roman"/>
          <w:sz w:val="36"/>
        </w:rPr>
        <w:t>Лэпбук</w:t>
      </w:r>
      <w:r>
        <w:rPr>
          <w:rFonts w:ascii="Times New Roman" w:hAnsi="Times New Roman"/>
          <w:sz w:val="36"/>
        </w:rPr>
        <w:t>».</w:t>
      </w:r>
    </w:p>
    <w:p w14:paraId="31000000">
      <w:pPr>
        <w:spacing w:after="240" w:line="240" w:lineRule="auto"/>
        <w:ind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Чтение художественной литературы</w:t>
      </w:r>
    </w:p>
    <w:p w14:paraId="32000000">
      <w:pPr>
        <w:spacing w:after="240" w:line="240" w:lineRule="auto"/>
        <w:ind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Чтение книг, рассматривание иллюстраций книг, показ различных видов театра (настольного, пальчикового, кукольного</w:t>
      </w:r>
      <w:r>
        <w:rPr>
          <w:rFonts w:ascii="Times New Roman" w:hAnsi="Times New Roman"/>
          <w:sz w:val="36"/>
        </w:rPr>
        <w:t>) также является основой развития речи детей. С самого раннего возраста у детей закладываются основы любви к книге, желание узнать из книги что-то новое и интересное</w:t>
      </w:r>
    </w:p>
    <w:p w14:paraId="33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5. Методические приемы</w:t>
      </w:r>
    </w:p>
    <w:p w14:paraId="34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Многократное повторение</w:t>
      </w:r>
      <w:r>
        <w:rPr>
          <w:rFonts w:ascii="Times New Roman" w:hAnsi="Times New Roman"/>
          <w:sz w:val="36"/>
        </w:rPr>
        <w:t>: Одно и то же слово проигрывается в разных ситуациях.</w:t>
      </w:r>
    </w:p>
    <w:p w14:paraId="35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Эмоциональность</w:t>
      </w:r>
      <w:r>
        <w:rPr>
          <w:rFonts w:ascii="Times New Roman" w:hAnsi="Times New Roman"/>
          <w:sz w:val="36"/>
        </w:rPr>
        <w:t>: Использование сюрпризных моментов (приход персонажа).</w:t>
      </w:r>
    </w:p>
    <w:p w14:paraId="36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Сочетание слова с движением</w:t>
      </w:r>
      <w:r>
        <w:rPr>
          <w:rFonts w:ascii="Times New Roman" w:hAnsi="Times New Roman"/>
          <w:sz w:val="36"/>
        </w:rPr>
        <w:t>: </w:t>
      </w:r>
      <w:r>
        <w:rPr>
          <w:rFonts w:ascii="Times New Roman" w:hAnsi="Times New Roman"/>
          <w:sz w:val="36"/>
        </w:rPr>
        <w:t>Физминутки</w:t>
      </w:r>
      <w:r>
        <w:rPr>
          <w:rFonts w:ascii="Times New Roman" w:hAnsi="Times New Roman"/>
          <w:sz w:val="36"/>
        </w:rPr>
        <w:t xml:space="preserve"> и </w:t>
      </w:r>
      <w:r>
        <w:rPr>
          <w:rFonts w:ascii="Times New Roman" w:hAnsi="Times New Roman"/>
          <w:sz w:val="36"/>
        </w:rPr>
        <w:t>логоритмика</w:t>
      </w:r>
      <w:r>
        <w:rPr>
          <w:rFonts w:ascii="Times New Roman" w:hAnsi="Times New Roman"/>
          <w:sz w:val="36"/>
        </w:rPr>
        <w:t>.</w:t>
      </w:r>
    </w:p>
    <w:p w14:paraId="37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6. Работа с родителями</w:t>
      </w:r>
    </w:p>
    <w:p w14:paraId="38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Взаимодействие включает трансляцию опыта через мессенджеры и короткие видео-инструкции («Играем дома 5 минут»), создание картотек игр для домашнего использования.</w:t>
      </w:r>
    </w:p>
    <w:p w14:paraId="39000000">
      <w:pPr>
        <w:rPr>
          <w:rFonts w:ascii="Times New Roman" w:hAnsi="Times New Roman"/>
          <w:sz w:val="36"/>
        </w:rPr>
      </w:pPr>
    </w:p>
    <w:p w14:paraId="3A000000">
      <w:pPr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7. Ожидаемые результаты</w:t>
      </w:r>
    </w:p>
    <w:p w14:paraId="3B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Увеличение объема активного словаря до 300–1000 слов (согласно возрастным нормам).</w:t>
      </w:r>
    </w:p>
    <w:p w14:paraId="3C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Появление в речи простых предложений из 2–3 слов.</w:t>
      </w:r>
    </w:p>
    <w:p w14:paraId="3D000000">
      <w:pPr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Снижение уровня речевого негативизма (желание вступать в контакт).</w:t>
      </w:r>
    </w:p>
    <w:p w14:paraId="3E000000">
      <w:pPr>
        <w:rPr>
          <w:rFonts w:ascii="Times New Roman" w:hAnsi="Times New Roman"/>
          <w:sz w:val="36"/>
        </w:rPr>
      </w:pPr>
    </w:p>
    <w:p w14:paraId="3F000000">
      <w:pPr>
        <w:pStyle w:val="Style_1"/>
        <w:spacing w:after="150" w:before="0"/>
        <w:ind/>
        <w:jc w:val="both"/>
        <w:rPr>
          <w:sz w:val="36"/>
        </w:rPr>
      </w:pPr>
      <w:r>
        <w:rPr>
          <w:sz w:val="36"/>
        </w:rPr>
        <w:t>Каждый день в детском саду для малышей — это яркие впечатления, новые открытия, веселые и интересные игры. У детей в процессе расширения кругозора активно развивается речь, но не всегда своевременно и эффективно, поэтому для деток нашей группы мы решили реализовать проект «Дидактические игры как средство развития речи у детей раннего возраста». Во время изучения темы «Игрушки» дети приносили из дома любимые игрушки и с удовольствием рассказывали о них, отвечая на вопросы: «Как называется игрушка?», «Какого она цвета?». «Как с ней можно играть?»</w:t>
      </w:r>
    </w:p>
    <w:p w14:paraId="40000000">
      <w:pPr>
        <w:pStyle w:val="Style_1"/>
        <w:spacing w:after="150" w:before="0"/>
        <w:ind/>
        <w:rPr>
          <w:sz w:val="36"/>
        </w:rPr>
      </w:pPr>
      <w:r>
        <w:rPr>
          <w:sz w:val="36"/>
        </w:rPr>
        <w:t> </w:t>
      </w:r>
    </w:p>
    <w:p w14:paraId="41000000">
      <w:pPr>
        <w:pStyle w:val="Style_1"/>
        <w:spacing w:after="150" w:before="0"/>
        <w:ind/>
        <w:jc w:val="both"/>
        <w:rPr>
          <w:sz w:val="36"/>
        </w:rPr>
      </w:pPr>
      <w:r>
        <w:rPr>
          <w:sz w:val="36"/>
        </w:rPr>
        <w:t>С младшего возраста очень важно развивать речевое дыхание. Дыхание влияет на звукопроизношение, артикуляцию и голос. Поэтому здесь необходимы такие дидактические игры «</w:t>
      </w:r>
      <w:r>
        <w:rPr>
          <w:sz w:val="36"/>
        </w:rPr>
        <w:t>Поддувалочки</w:t>
      </w:r>
      <w:r>
        <w:rPr>
          <w:sz w:val="36"/>
        </w:rPr>
        <w:t>»  Например</w:t>
      </w:r>
      <w:r>
        <w:rPr>
          <w:sz w:val="36"/>
        </w:rPr>
        <w:t xml:space="preserve">, малыши дуют на чашку с «горячим»  чаем. Такие игры очень нравятся детям. Для развития речевого </w:t>
      </w:r>
      <w:r>
        <w:rPr>
          <w:sz w:val="36"/>
        </w:rPr>
        <w:t>внимания  и</w:t>
      </w:r>
      <w:r>
        <w:rPr>
          <w:sz w:val="36"/>
        </w:rPr>
        <w:t xml:space="preserve"> навыков звукоподражания играем с детьми </w:t>
      </w:r>
      <w:r>
        <w:rPr>
          <w:sz w:val="36"/>
        </w:rPr>
        <w:t xml:space="preserve">в игру «Кто как кричит?» Детки </w:t>
      </w:r>
      <w:r>
        <w:rPr>
          <w:sz w:val="36"/>
        </w:rPr>
        <w:t>в масках изображают животных, произнося звукоподражания.</w:t>
      </w:r>
    </w:p>
    <w:p w14:paraId="42000000">
      <w:pPr>
        <w:pStyle w:val="Style_1"/>
        <w:spacing w:after="150" w:before="0"/>
        <w:ind/>
        <w:jc w:val="both"/>
        <w:rPr>
          <w:sz w:val="36"/>
        </w:rPr>
      </w:pPr>
      <w:r>
        <w:rPr>
          <w:sz w:val="36"/>
        </w:rPr>
        <w:t xml:space="preserve"> Впереди еще много работы по созданию новых дидактических игр и разработке консультаций для родителей. Будем в дальнейшем стараться делать речь детей средством общения, познания и самовыражения.</w:t>
      </w:r>
    </w:p>
    <w:p w14:paraId="43000000">
      <w:pPr>
        <w:rPr>
          <w:rFonts w:ascii="Times New Roman" w:hAnsi="Times New Roman"/>
          <w:sz w:val="36"/>
        </w:rPr>
      </w:pPr>
    </w:p>
    <w:sectPr>
      <w:pgSz w:h="16838" w:orient="portrait" w:w="11906"/>
      <w:pgMar w:bottom="1134" w:footer="708" w:gutter="0" w:header="708" w:left="1701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vkekvd"/>
    <w:basedOn w:val="Style_11"/>
    <w:link w:val="Style_10_ch"/>
  </w:style>
  <w:style w:styleId="Style_10_ch" w:type="character">
    <w:name w:val="vkekvd"/>
    <w:basedOn w:val="Style_11_ch"/>
    <w:link w:val="Style_10"/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" w:type="paragraph">
    <w:name w:val="Normal (Web)"/>
    <w:basedOn w:val="Style_2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2026-03-02T19:48:23Z</dcterms:modified>
</cp:coreProperties>
</file>