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05" w:rsidRPr="00ED113A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  <w:shd w:val="clear" w:color="auto" w:fill="FFFFFF"/>
        </w:rPr>
      </w:pPr>
      <w:r w:rsidRPr="00ED113A">
        <w:rPr>
          <w:color w:val="000000"/>
          <w:sz w:val="28"/>
          <w:szCs w:val="28"/>
          <w:shd w:val="clear" w:color="auto" w:fill="FFFFFF"/>
        </w:rPr>
        <w:t xml:space="preserve">областное бюджетное профессиональное образовательное учреждение </w:t>
      </w:r>
    </w:p>
    <w:p w:rsidR="00D07A05" w:rsidRPr="00632C2C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  <w:r w:rsidRPr="00632C2C">
        <w:rPr>
          <w:color w:val="000000"/>
          <w:sz w:val="28"/>
          <w:szCs w:val="28"/>
          <w:shd w:val="clear" w:color="auto" w:fill="FFFFFF"/>
        </w:rPr>
        <w:t>«Курский государственный политехнический колледж»</w:t>
      </w:r>
    </w:p>
    <w:p w:rsidR="00D07A05" w:rsidRPr="00632C2C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</w:p>
    <w:p w:rsidR="00D07A05" w:rsidRPr="00ED113A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07A05" w:rsidRPr="00ED113A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181818"/>
          <w:sz w:val="28"/>
          <w:szCs w:val="28"/>
        </w:rPr>
      </w:pPr>
    </w:p>
    <w:p w:rsidR="00D07A05" w:rsidRPr="00ED113A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ED113A">
        <w:rPr>
          <w:b/>
          <w:bCs/>
          <w:color w:val="181818"/>
          <w:sz w:val="28"/>
          <w:szCs w:val="28"/>
        </w:rPr>
        <w:t>ДОКЛАД</w:t>
      </w:r>
    </w:p>
    <w:p w:rsidR="00D07A05" w:rsidRPr="00ED113A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color w:val="181818"/>
          <w:sz w:val="28"/>
          <w:szCs w:val="28"/>
        </w:rPr>
      </w:pPr>
    </w:p>
    <w:p w:rsidR="00D07A05" w:rsidRPr="00632C2C" w:rsidRDefault="00D07A05" w:rsidP="00D07A0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i/>
          <w:iCs/>
          <w:color w:val="181818"/>
          <w:sz w:val="28"/>
          <w:szCs w:val="28"/>
        </w:rPr>
      </w:pPr>
      <w:r w:rsidRPr="00ED113A">
        <w:rPr>
          <w:b/>
          <w:bCs/>
          <w:color w:val="181818"/>
          <w:sz w:val="28"/>
          <w:szCs w:val="28"/>
        </w:rPr>
        <w:t>Тема: </w:t>
      </w:r>
      <w:r w:rsidRPr="00632C2C">
        <w:rPr>
          <w:b/>
          <w:bCs/>
          <w:i/>
          <w:iCs/>
          <w:color w:val="111115"/>
          <w:sz w:val="28"/>
          <w:szCs w:val="28"/>
        </w:rPr>
        <w:t>«</w:t>
      </w:r>
      <w:r w:rsidR="006F71A2" w:rsidRPr="00A40C04">
        <w:rPr>
          <w:color w:val="000000"/>
          <w:sz w:val="28"/>
          <w:szCs w:val="28"/>
        </w:rPr>
        <w:t>О проведении государственной итоговой аттестации выпускников по специальности 20.02.04 Пожарная безопасность в форме демонстрационного экзамена</w:t>
      </w:r>
      <w:r w:rsidRPr="00632C2C">
        <w:rPr>
          <w:b/>
          <w:bCs/>
          <w:i/>
          <w:iCs/>
          <w:color w:val="111115"/>
          <w:sz w:val="28"/>
          <w:szCs w:val="28"/>
        </w:rPr>
        <w:t>».</w:t>
      </w:r>
    </w:p>
    <w:p w:rsidR="00D07A05" w:rsidRPr="00632C2C" w:rsidRDefault="00D07A05" w:rsidP="00D07A05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i/>
          <w:iCs/>
          <w:color w:val="181818"/>
          <w:sz w:val="28"/>
          <w:szCs w:val="28"/>
        </w:rPr>
      </w:pPr>
    </w:p>
    <w:p w:rsidR="00D07A05" w:rsidRPr="00ED113A" w:rsidRDefault="00D07A05" w:rsidP="00D07A05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181818"/>
          <w:sz w:val="28"/>
          <w:szCs w:val="28"/>
        </w:rPr>
      </w:pPr>
    </w:p>
    <w:p w:rsidR="00D07A05" w:rsidRPr="00ED113A" w:rsidRDefault="00D07A05" w:rsidP="00D07A05">
      <w:pPr>
        <w:pStyle w:val="a3"/>
        <w:shd w:val="clear" w:color="auto" w:fill="FFFFFF"/>
        <w:spacing w:before="0" w:beforeAutospacing="0" w:after="0" w:afterAutospacing="0" w:line="187" w:lineRule="atLeast"/>
        <w:rPr>
          <w:rFonts w:ascii="Arial" w:hAnsi="Arial" w:cs="Arial"/>
          <w:color w:val="181818"/>
          <w:sz w:val="28"/>
          <w:szCs w:val="28"/>
        </w:rPr>
      </w:pPr>
    </w:p>
    <w:p w:rsidR="00D07A05" w:rsidRPr="00ED113A" w:rsidRDefault="00D07A05" w:rsidP="00D07A0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D07A05" w:rsidRPr="00ED113A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D07A05" w:rsidRPr="00ED113A" w:rsidRDefault="00D07A05" w:rsidP="00D07A0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81818"/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03981" w:rsidRDefault="00E03981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03981" w:rsidRDefault="00E03981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03981" w:rsidRDefault="00E03981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07A05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07A05" w:rsidRPr="00ED113A" w:rsidRDefault="00D07A05" w:rsidP="00D07A0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D113A">
        <w:rPr>
          <w:sz w:val="28"/>
          <w:szCs w:val="28"/>
        </w:rPr>
        <w:t>г. Курск 202</w:t>
      </w:r>
      <w:r w:rsidR="00E03981">
        <w:rPr>
          <w:sz w:val="28"/>
          <w:szCs w:val="28"/>
        </w:rPr>
        <w:t>4</w:t>
      </w:r>
      <w:r w:rsidRPr="00ED113A">
        <w:rPr>
          <w:sz w:val="28"/>
          <w:szCs w:val="28"/>
        </w:rPr>
        <w:t>г</w:t>
      </w:r>
    </w:p>
    <w:p w:rsidR="007F32F6" w:rsidRDefault="007F32F6"/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Основным принципом государственной итоговой аттестации (далее – ГИА) по стандартам 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Ворлдскиллс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Россия является принцип объективности и прозрачности проведения.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Демонстрационный экзамен проводится с целью определения у студентов и выпускников уровня знаний, умений, навыков, позволяющих вести профессиональную деятельность и выполнять работу по профессии в соответствии со стандартами 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Ворлдскиллс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Россия.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– это модель независимой оценки качества подготовки кадров, содействующая решению нескольких задач системы профессионального образования и рынка труда без проведения дополнительных процедур.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Прежде всего, соответствующая процедура обеспечивает качественную экспертную оценку в соответствии с международными стандартами, так как в предлагаемой модели экспертное участие, в том числе представителей работодателей требует подтверждения квалификации по стандартам 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Ворлдскиллс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Россия.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Выпускники, прошедшие аттестационные испытания в формате демонстрационного экзамена получают возможность: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а) одновременно с подтверждением уровня освоения образовательной программы в соответствии с федеральными государственными образовательными стандартами подтвердить свою квалификацию в соответствии с требованиями международных стандартов 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Ворлдскиллс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без прохождения дополнительных аттестационных испытаний,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б) подтвердить свою квалификацию по отдельным профессиональным модулям, востребованным предприятиями-работодателями и получить предложение о трудоустройстве на этапе выпуска из образовательной организации.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Для образовательной организации проведение аттестационных испытаний в формате демонстрационного экзамена - это возможность объективно оценить содержание и качество образовательных программ, материально-техническую базу, уровень квалификации </w:t>
      </w:r>
      <w:bookmarkStart w:id="0" w:name="_GoBack"/>
      <w:bookmarkEnd w:id="0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преподавательского состава, а также направления деятельности, в соответствии с которыми определить точки роста и дальнейшего развития.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Предприятия, участвующие в оценке экзамена, по его результатам могут осуществить подбор лучших молодых специалистов по востребованным компетенциям, оценив на практике их профессиональные умения и навыки, а также определить образовательные организации для сотрудничества в области подготовки и обучения персонала.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Этапы подготовки и проведения демонстрационного экзамена</w:t>
      </w:r>
    </w:p>
    <w:p w:rsidR="00D07A05" w:rsidRPr="006F71A2" w:rsidRDefault="00D07A05" w:rsidP="006F71A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Определение перечня компетенций, площадок проведения и формирование графика проведения демонстрационного экзамена в субъектах РФ.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Перечень компетенций, по которым проводится демонстрационный экзамен по стандартам 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Ворлдскиллс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Россия в субъекте Российской Федерации определяется в соответствии с решением органа исполнительной власти субъекта Российской Федерации, осуществляющего государственное управление в сфере профессионального образования. Компетенции определяются </w:t>
      </w: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на основе анализа востребованности профессий и специальностей для приоритетных отраслей региона из списка 50 наиболее востребованных на рынке труда, новых и перспективных профессий, требующих среднего профессионального образования «ТОП-50».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После определения перечня компетенций и площадок проведения экзамена формируется региональный график проведения демонстрационного экзамена по стандартам 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Ворлдскиллс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Россия с указанием количества студентов и выпускников, сдающих демонстрационный экзамен.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2. Формирование экспертной группы, организация и обеспечение деятельности Экспертной группы.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Для обеспечения организации и проведения демонстрационного экзамена Союзом «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Ворлдскиллс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Россия» по предложению региональных координационных центров Союза «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Ворлдскиллс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Россия» определяются главные эксперты на каждую площадку проведения экзамена из числа сертифицированных экспертов, при этом предпочтение отдается кандидатам, не занятым в системе среднего профессионального образования субъекта Российской Федерации, на территории которого проводится экзамен.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3. Разработка регламентирующих документов.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 6 месяцев до проведения демонстрационного экзамена Союз «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Ворлдскиллс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Россия» должен обеспечить разработку заданий экзамена, критериев оценки и инфраструктурных листов по всем компетенциям и опубликовать их в специальном разделе на официальном сайте </w:t>
      </w:r>
      <w:r w:rsidRPr="006F71A2">
        <w:rPr>
          <w:rFonts w:ascii="Times New Roman" w:eastAsia="Times New Roman" w:hAnsi="Times New Roman" w:cs="Times New Roman"/>
          <w:color w:val="0000FF"/>
          <w:szCs w:val="20"/>
          <w:u w:val="single"/>
          <w:lang w:eastAsia="ru-RU"/>
        </w:rPr>
        <w:t>www.worldskills.ru</w:t>
      </w: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4. Регистрация участников экзамена, информирование о сроках и порядке проведения демонстрационного экзамена.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5. Подготовка площадки проведения экзамена и установка оборудования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После уточнения количества участников экзамена по компетенциям, Главным экспертом разрабатывается и утверждается схема расстановки и комплектования рабочих мест на каждую площадку.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Ответственность за обеспечение площадок оптимальными средствами и необходимой инфраструктурой для проведения демонстрационного экзамена по каждой компетенции в соответствии с техническими описаниями и инфраструктурными листами несет Центр проведения демонстрационного экзамена по стандартам 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Ворлдскиллс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Россия (далее – ЦПДЭ).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6. Проведение демонстрационного экзамена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За 1 день до начала экзамена Экспертной группой производится дооснащение площадки (при необходимости) и настройка оборудования.</w:t>
      </w:r>
    </w:p>
    <w:p w:rsidR="00D07A05" w:rsidRPr="006F71A2" w:rsidRDefault="00D07A05" w:rsidP="006F71A2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указанный день осуществляется распределение рабочих мест участников на площадке в соответствии с жеребьевкой.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После распределения рабочих мест и прохождения инструктажа по ОТ и ТБ участникам предоставляется время не более 2 часов на подготовку рабочих мест, а также на проверку и подготовку инструментов и материалов, ознакомление с оборудованием и его тестирование.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Экзаменационные задания выдаются участникам непосредственно перед началом экзамена.</w:t>
      </w:r>
    </w:p>
    <w:p w:rsidR="00D07A05" w:rsidRPr="006F71A2" w:rsidRDefault="00D07A05" w:rsidP="006F71A2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Arial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выполнению экзаменационных заданий участники приступают после указания Главного эксперта.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Процедура проведения демонстрационного экзамена проходит с соблюдением принципов честности, справедливости и информационной открытости. Вся информация и инструкции по выполнению экзамена от членов Экспертной группы, в том числе с целью оказания необходимой помощи, должны быть четкими и недвусмысленными, не дающими преимущества тому или иному участнику.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7. Оценка экзаменационных заданий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Выполненные экзаменационные задания оцениваются в соответствии со схемой начисления баллов, разработанными на основании характеристик компетенций, определяемых техническим описанием. Все баллы и оценки регистрируются в системе CIS.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Члены Экспертной группы при оценке выполнения экзаменационных заданий обязаны демонстрировать необходимый уровень профессионализма, честности и беспристрастности, соблюдать требования регламента проведения демонстрационного экзамена и Кодекса этики движения «Молодые профессионалы» (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WorldSkills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Russia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Процедура оценивания результатов выполнения экзаменационных заданий осуществляется в соответствии с правилами, установленными для оценки конкурсных заданий региональных чемпионатов «Молодые профессионалы» (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WorldSkills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Russia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), включая использование форм и оценочных ведомостей для фиксирования выставленных оценок и/или баллов вручную, которые в последующем вносятся в систему CIS.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b/>
          <w:bCs/>
          <w:color w:val="000000"/>
          <w:szCs w:val="20"/>
          <w:lang w:eastAsia="ru-RU"/>
        </w:rPr>
        <w:t>8. Оформление результатов экзамена. Итоговое заседание Экспертной группы.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Оформление результатов экзамена осуществляется в соответствии с порядком, принятым при проведении региональных чемпионатов «Молодые профессионалы» (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WorldSkills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Russia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).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Баллы и/или оценки, выставленные членами Экспертной группы, переносятся из рукописных оценочных ведомостей в систему CIS по мере осуществления процедуры оценки. После выставления оценок и/или баллов во все оценочные ведомости, запись о выставленных оценках в системе CIS блокируется.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После всех оценочных процедур, проводится итоговое заседание Экспертной группы, во время которого осуществляется сверка распечатанных результатов с рукописными оценочными ведомостями.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Результатом работы Экспертной комиссии является итоговый протокол заседания Экспертной комиссии, в котором указывается общий перечень участников, сумма баллов по каждому участнику за выполненное задание экзамена, все необходимые бланки и формы формируются через систему CIS.</w:t>
      </w:r>
    </w:p>
    <w:p w:rsidR="00D07A05" w:rsidRPr="006F71A2" w:rsidRDefault="00D07A05" w:rsidP="006F71A2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lang w:eastAsia="ru-RU"/>
        </w:rPr>
      </w:pP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 статье описано планируемая методика организации проведения демонстрационного экзамена по стандартам </w:t>
      </w:r>
      <w:proofErr w:type="spell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Ворлдскиллс</w:t>
      </w:r>
      <w:proofErr w:type="spell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Россия в рамках ГИА для выпускников, завершающих освоение программы подготовки квалифицированных рабочих, служащих по профессии 08.01.25 Мастер отделочных строительных и декоративных </w:t>
      </w:r>
      <w:proofErr w:type="gramStart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работ .в</w:t>
      </w:r>
      <w:proofErr w:type="gramEnd"/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государственном автономном </w:t>
      </w:r>
      <w:r w:rsidRPr="006F71A2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>профессиональном образовательном учреждении Самарской области «Колледж технического и художественного образования г. Тольятти».</w:t>
      </w:r>
    </w:p>
    <w:p w:rsidR="00D07A05" w:rsidRDefault="00D07A05"/>
    <w:p w:rsidR="00D07A05" w:rsidRDefault="00D07A05"/>
    <w:sectPr w:rsidR="00D0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3030"/>
    <w:multiLevelType w:val="multilevel"/>
    <w:tmpl w:val="D380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5146B2"/>
    <w:multiLevelType w:val="multilevel"/>
    <w:tmpl w:val="AA12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A6228"/>
    <w:multiLevelType w:val="multilevel"/>
    <w:tmpl w:val="DD187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DA"/>
    <w:rsid w:val="00242FA0"/>
    <w:rsid w:val="005A1EB7"/>
    <w:rsid w:val="006F71A2"/>
    <w:rsid w:val="007F32F6"/>
    <w:rsid w:val="00D07A05"/>
    <w:rsid w:val="00E03981"/>
    <w:rsid w:val="00FA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36D9A-C807-4FF4-933C-F0078088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0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07A05"/>
  </w:style>
  <w:style w:type="paragraph" w:customStyle="1" w:styleId="c0">
    <w:name w:val="c0"/>
    <w:basedOn w:val="a"/>
    <w:rsid w:val="00D0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7A05"/>
  </w:style>
  <w:style w:type="character" w:customStyle="1" w:styleId="c11">
    <w:name w:val="c11"/>
    <w:basedOn w:val="a0"/>
    <w:rsid w:val="00D07A05"/>
  </w:style>
  <w:style w:type="character" w:customStyle="1" w:styleId="c21">
    <w:name w:val="c21"/>
    <w:basedOn w:val="a0"/>
    <w:rsid w:val="00D07A05"/>
  </w:style>
  <w:style w:type="character" w:customStyle="1" w:styleId="c17">
    <w:name w:val="c17"/>
    <w:basedOn w:val="a0"/>
    <w:rsid w:val="00D07A05"/>
  </w:style>
  <w:style w:type="paragraph" w:customStyle="1" w:styleId="c24">
    <w:name w:val="c24"/>
    <w:basedOn w:val="a"/>
    <w:rsid w:val="00D0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1299</Words>
  <Characters>7408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2022-06-03T12:04:00Z</dcterms:created>
  <dcterms:modified xsi:type="dcterms:W3CDTF">2024-10-07T12:39:00Z</dcterms:modified>
</cp:coreProperties>
</file>