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13" w:rsidRDefault="00245F13" w:rsidP="00245F13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bookmarkStart w:id="0" w:name="_GoBack"/>
      <w:r w:rsidRPr="00CD44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Этапы карьерного роста педагог</w:t>
      </w:r>
      <w:r w:rsidR="003D557C" w:rsidRPr="00CD44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</w:t>
      </w:r>
      <w:r w:rsidRPr="00CD44B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ДОУ</w:t>
      </w:r>
    </w:p>
    <w:p w:rsidR="00CD44BA" w:rsidRPr="00CD44BA" w:rsidRDefault="00CD44BA" w:rsidP="00CD44BA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CD44BA">
        <w:rPr>
          <w:rFonts w:ascii="Times New Roman" w:hAnsi="Times New Roman" w:cs="Times New Roman"/>
          <w:sz w:val="28"/>
          <w:lang w:eastAsia="ru-RU"/>
        </w:rPr>
        <w:t>Подготовила</w:t>
      </w:r>
    </w:p>
    <w:p w:rsidR="00CD44BA" w:rsidRDefault="00CD44BA" w:rsidP="00CD44BA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CD44BA">
        <w:rPr>
          <w:rFonts w:ascii="Times New Roman" w:hAnsi="Times New Roman" w:cs="Times New Roman"/>
          <w:sz w:val="28"/>
          <w:lang w:eastAsia="ru-RU"/>
        </w:rPr>
        <w:t>воспитатель Чаплина Т.А.</w:t>
      </w:r>
    </w:p>
    <w:p w:rsidR="00CD44BA" w:rsidRPr="00CD44BA" w:rsidRDefault="00CD44BA" w:rsidP="00CD44BA">
      <w:pPr>
        <w:pStyle w:val="a4"/>
        <w:jc w:val="right"/>
        <w:rPr>
          <w:rFonts w:ascii="Times New Roman" w:hAnsi="Times New Roman" w:cs="Times New Roman"/>
          <w:sz w:val="28"/>
          <w:szCs w:val="27"/>
          <w:lang w:eastAsia="ru-RU"/>
        </w:rPr>
      </w:pPr>
    </w:p>
    <w:p w:rsidR="003D557C" w:rsidRDefault="003D557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F13" w:rsidRPr="00C1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которые происходят в последнее время в сфере дошкольного образования, характеризуются резким возрастанием интереса к проблемам кадрового резерва ДОУ. </w:t>
      </w:r>
    </w:p>
    <w:p w:rsidR="003D557C" w:rsidRDefault="003D557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Инновационные стратегии развития ОУ требуют от педагогических сотрудников не только высокого профессионализма, но и  повышение ответственности за результаты своей работы. Поэтому необходимость карьерного роста педагогического работника становиться очевидным условием успешной работы не только конкретного сотрудника, но и ОО в целом. Технологии сопровождения карьерного роста педагога ДОУ призваны обеспечить</w:t>
      </w:r>
      <w:r w:rsidR="00E72F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F4C" w:rsidRDefault="00E72F4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педагогу ДОУ эмоционально благоприятных условий для профессиональной деятельности и раскрытия его творческого потенциала;</w:t>
      </w:r>
    </w:p>
    <w:p w:rsidR="00E72F4C" w:rsidRDefault="00E72F4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педагогу методической помощи в решении проблем и затруднений;</w:t>
      </w:r>
    </w:p>
    <w:p w:rsidR="00E72F4C" w:rsidRDefault="00E72F4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всех педагогических сотрудников к решению задач развития детского сада</w:t>
      </w:r>
    </w:p>
    <w:p w:rsidR="00E72F4C" w:rsidRDefault="00E72F4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дошкольной образовательной организации, как показывает опыт, горизонтальная профессиональная карьера педагога координируется чаще всего руководителем(методистом), в деятельность которых входит:</w:t>
      </w:r>
    </w:p>
    <w:p w:rsidR="00E72F4C" w:rsidRDefault="00E72F4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модели стратегического управления карьерным ростом в ДОО;</w:t>
      </w:r>
    </w:p>
    <w:p w:rsidR="00E72F4C" w:rsidRDefault="00E72F4C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оптимальное сочетание системы непрерывного образования педагога (</w:t>
      </w:r>
      <w:r w:rsidR="00CD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курсов повышения квалификации, деятельность по самообразованию, участие в конкурсах профессионального мастерства и </w:t>
      </w:r>
      <w:proofErr w:type="spellStart"/>
      <w:r w:rsidR="00CD44BA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CD44BA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CD44BA" w:rsidRDefault="00CD44BA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BA" w:rsidRDefault="00CD44BA" w:rsidP="00C14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Были выделены этапы сопровождения карьерного роста:</w:t>
      </w:r>
    </w:p>
    <w:p w:rsidR="00A60BCC" w:rsidRDefault="00523D18" w:rsidP="00523D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Диагностико-аналитический</w:t>
      </w:r>
      <w:proofErr w:type="spellEnd"/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Проектировочный этап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реализации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Контрольно-оценочный этап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23D18" w:rsidRDefault="00CD44BA" w:rsidP="00523D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каждый из этапов сопровожд</w:t>
      </w:r>
      <w:r w:rsid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карьерного роста педагога более подробно.</w:t>
      </w:r>
      <w:r w:rsid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3D18" w:rsidRDefault="00523D18" w:rsidP="00523D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«Аналитико-диагностический» - выполняет информационно-аналитическую и мотивационно-целевую функцию сопровождения. На данном этапе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осуществлялось  выявление уровня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профессионализма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педагогического сотрудника, диагностика карьерных возможностей педагогов, а также выявление потребности педагога в повышении своей профессиональной компетенции и мастерства,  стремление к </w:t>
      </w:r>
      <w:proofErr w:type="spellStart"/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самовершенствованию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ижущей силе карьерного роста.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3D18" w:rsidRDefault="00523D18" w:rsidP="00523D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сопровождения карьерного роста педагога ДОУ - проектировочный этап – его главная задача: совместное проектирование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 карьерного роста личности.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планирования карьеры представлена в виде последовательно реализуемых действиях:</w:t>
      </w:r>
      <w:r>
        <w:rPr>
          <w:rFonts w:ascii="Times New Roman" w:hAnsi="Times New Roman" w:cs="Times New Roman"/>
          <w:sz w:val="28"/>
          <w:szCs w:val="28"/>
        </w:rPr>
        <w:t xml:space="preserve"> Приложение 1 (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245F13">
        <w:rPr>
          <w:rFonts w:ascii="Times New Roman" w:eastAsia="Times New Roman" w:hAnsi="Times New Roman" w:cs="Times New Roman"/>
          <w:sz w:val="28"/>
          <w:szCs w:val="32"/>
          <w:lang w:eastAsia="ru-RU"/>
        </w:rPr>
        <w:t>арта профессионального роста педагога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)</w:t>
      </w:r>
    </w:p>
    <w:p w:rsidR="00A60BCC" w:rsidRDefault="00523D18" w:rsidP="00523D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возможностей педагога, выявленных на первом этапе, конкретизируются требования к образовательному уровню, квалификации, стажу и опыту работы, личным и деловым качествам, необходимым специалисту для того, чтобы подняться на следующи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й этап карьерной лестницы. Р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азрабатываются мероприятия по подготовке педагога к новому этапу карьерного роста и определяются сроки их вып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олнения.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пределяются оценочные критерии, которые показывают педагогу уровень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поставленных целей.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становлении профессионального мастерства молодого специалиста играет взаимодействие различных специалистов внутри самих дошкольных учреждений (учителей-логопедов, педагогов-психологов, музыкальных руководителей, инструкторов по физическому воспитанию, воспитателей, педагогов дополнительного образования, старшего воспитателя и медицинского персонала).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реализации маршрута образовательной деятельности педагога. На данном этапе происходит реализация плана-проекта карьерного роста педагога-дошкольника. После изучения нового методического содержания педагог имеет возможность применить свои знания на практике, профессионально овладеть современными педагогическими технологиями, разработать собственную программу. 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этапе оказывает систематическую помощь воспитателю через использование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адекватных приемов и методов, осуществляет карьерное консультирование. Педагог имеет возможность удовлетворения свое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потребности в самореализации. 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интерактивной форме сопровождения карьерного роста педагогов ДОУ занимает конкурсное и выставочное движение. Конкурсы (выставки) позволяют педагогу представить общественному мнению свои творческие достижения, повышать свою социальную культуру, демонстрировать профессиональные достижения. В конкурсах педагог приобретает опыт, который влияет на его становление, как специалиста, по результатам оценки конкурсам компетентным жюри педагог может корректировать траекторию своего профессионального развития и социальной активности.</w:t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44BA"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педагогов существуют два типа конкурсов: </w:t>
      </w:r>
    </w:p>
    <w:p w:rsidR="00A60BCC" w:rsidRDefault="00CD44BA" w:rsidP="00523D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– они представляют свое педагогическое мастерство, свои достижения, это конкурс, например, «Воспитатель года», </w:t>
      </w:r>
    </w:p>
    <w:p w:rsidR="00A60BCC" w:rsidRDefault="00CD44BA" w:rsidP="00523D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тип конкурсов – конкурсы, в которых воспитатель представляет достижения своих воспитанников, которых они смогли достичь под его руководством.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контрольно-оценочный – совместное обсуждение достижений карьерного роста педагога. На данном этапе происходит анализ и оценка (самооценка) проделанной работы: оценка карьерного успеха и рефлексия карьерного маршрута, а затем с учетом этой информации, при необходимости, происходит осуществление коррекции. 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анализа и оценки эффективности профессионального карьерного роста педагог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выступали: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уровень профессиональной компетенции педагог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он оценивался нами с помощью диагностических карт выявления уровня компетенции педагогов (К.Ю. Белая). Вывод: выявлена положительная динамика уровня профессиональной компетенции педагогов-дошкольников.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анализ итогов аттестации педагог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полученных данных 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свидетельствует о положительной динамике роста квалификации педагог</w:t>
      </w:r>
      <w:r w:rsidR="00A60B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D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 можно сделать вывод о росте карьерных возможностей.</w:t>
      </w:r>
    </w:p>
    <w:p w:rsidR="00A60BCC" w:rsidRDefault="00A60BCC" w:rsidP="00A60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задолго до прихода на работу в детский сад «Рябинушка», я не могла подумать, что уже через год моя судьба резко измениться: не проработав и год в должности младшего воспитателя, я стану не только студентом Смоленского Государственного Университета, но и ежедневно ко мне будут спешить мои ребятишки. Пусть не совсем с настроением, кто – то со слезами, а кто – то и задорной, озорной улыбкой, и это будут мои первые воспитанники, с которыми я получу свой первый педагогический опыт.</w:t>
      </w:r>
    </w:p>
    <w:p w:rsidR="00A60BCC" w:rsidRDefault="00A60BCC" w:rsidP="00A60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мы будем учиться познавать неизведанное, замечать необычное в окружающей действительности, играть, дружить, помогать друг другу. Познавая мир вокруг нас и отвечая на вопросы своих «почемучек», я не заметила сама, как меня увлек мир живой природы, его особенности, взаимосвязь между объектами, и самое главное – влияние человека на эту тонкую организацию. Я стала задумываться о том, как же обо всем этом, в доступной  и интересной форме мне донести информацию моим детям. </w:t>
      </w:r>
    </w:p>
    <w:p w:rsidR="00A60BCC" w:rsidRDefault="00A60BCC" w:rsidP="00A60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самообразования я выявила для себя наиболее эффективный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деятельности, который заключается в организации серий экспериментов и опытов с объектами живой природы.</w:t>
      </w:r>
    </w:p>
    <w:p w:rsidR="00A60BCC" w:rsidRDefault="00A60BCC" w:rsidP="00A60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определенный период времени приобретенный опыт был обобщен и представлен в виде методической системы на районном конкурсе «Воспитатель года» в 2015 году. Моя деятельность получила высокое признание жюри, несмотря на жесткую конкуренцию среди конкурсантов, и я стала победителем. Это придало мне сил и уверенности в том, что я выбрала правильное для себя направление, оно актуально в современном дошкольном образовании, полностью удовлетворяет потребности воспитанников в их познавательной деятельности.</w:t>
      </w:r>
    </w:p>
    <w:p w:rsidR="00A60BCC" w:rsidRDefault="00A60BCC" w:rsidP="00A60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 коллектив меня поддержали, и я решила попробовать свои силы в областном конкурсе «Воспитатель года». Конкурсная программа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предполагала различные испытания, но самое главное – это обмен педагогическим опытом между коллегами, знакомство с детскими садами города Смоленска, добрые советы и рекомендации компетентного жюри. Все это помогло сконцентрироваться и в полной мере проявить свое мастерство, а результат – лауреат областного конкурса «Воспитатель года».</w:t>
      </w:r>
    </w:p>
    <w:p w:rsidR="00A60BCC" w:rsidRDefault="00A60BCC" w:rsidP="00A60B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Следующим этапом моего становления стало участие в районных и областных методических мероприятиях, диссеминация своего опыта, участие в инновационной деятельности детского сада по апробации ПМК «Мозаичный парк».</w:t>
      </w:r>
    </w:p>
    <w:p w:rsidR="00A60BCC" w:rsidRDefault="00A60BCC" w:rsidP="00A60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ориентир дошкольного образования на современном этапе стимулирует педагога к профессиональному саморазвитию, через изучение новых педагогических технологий, новых направлений в дошкольном образовании.</w:t>
      </w:r>
    </w:p>
    <w:p w:rsidR="002876E7" w:rsidRDefault="00A60BCC" w:rsidP="00287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Учитывая современные тенденции я повышаю свою квалификацию, в настоящее время имею высшую категорию, но это не говорит о том, что нужно остановиться на достигнутом. Для меня честь поделиться своим передовым опытом в качестве лектора в ГАУ ДПО «Смоленский областной институт развития образования», с 2020 года ста</w:t>
      </w:r>
      <w:r w:rsidR="00587B35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>руководителем районного методического объединения воспитателей и логопедов Смоленского района.</w:t>
      </w:r>
      <w:bookmarkEnd w:id="0"/>
    </w:p>
    <w:p w:rsidR="00245F13" w:rsidRDefault="00245F13" w:rsidP="00245F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245F13" w:rsidRPr="00245F13" w:rsidRDefault="00245F13" w:rsidP="00245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5F13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КАРТА ПРОФЕССИОНАЛЬНОГО РОСТА ПЕДАГОГА</w:t>
      </w:r>
    </w:p>
    <w:p w:rsidR="00245F13" w:rsidRPr="00245F13" w:rsidRDefault="00245F13" w:rsidP="00245F13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828"/>
        <w:gridCol w:w="4680"/>
        <w:gridCol w:w="4063"/>
      </w:tblGrid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063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>Место проведения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vAlign w:val="center"/>
          </w:tcPr>
          <w:p w:rsidR="00245F13" w:rsidRPr="00A7367B" w:rsidRDefault="00C84D43" w:rsidP="00245F13">
            <w:pPr>
              <w:jc w:val="center"/>
              <w:rPr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«Смоленский государственный университет» диплом специалиста № 0080 от 04.03.2014г</w:t>
            </w:r>
          </w:p>
        </w:tc>
        <w:tc>
          <w:tcPr>
            <w:tcW w:w="4063" w:type="dxa"/>
            <w:vAlign w:val="center"/>
          </w:tcPr>
          <w:p w:rsidR="00245F13" w:rsidRPr="00245F13" w:rsidRDefault="00C84D43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 2008 – 2014г.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vAlign w:val="center"/>
          </w:tcPr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</w:rPr>
              <w:t xml:space="preserve"> ГАУ ДПОС «Смоленский областной институт развития образования» программа «Современные информационные </w:t>
            </w:r>
            <w:r w:rsidRPr="00A7367B">
              <w:rPr>
                <w:color w:val="000000" w:themeColor="text1"/>
                <w:sz w:val="28"/>
                <w:szCs w:val="28"/>
              </w:rPr>
              <w:lastRenderedPageBreak/>
              <w:t xml:space="preserve">технологии в профессиональной педагогической деятельности» регистрационный номер 1689-  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A0514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г.Смоленск 2011г.</w:t>
            </w:r>
          </w:p>
        </w:tc>
      </w:tr>
      <w:tr w:rsidR="00BA0514" w:rsidRPr="00245F13" w:rsidTr="00B2414F">
        <w:tc>
          <w:tcPr>
            <w:tcW w:w="828" w:type="dxa"/>
            <w:vAlign w:val="center"/>
          </w:tcPr>
          <w:p w:rsidR="00BA0514" w:rsidRPr="00245F13" w:rsidRDefault="00BA0514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80" w:type="dxa"/>
            <w:vAlign w:val="center"/>
          </w:tcPr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Грамота призера методической выставки «Преемственность дошкольного и начального общего образования в рамках реализации ФГОС»; </w:t>
            </w:r>
          </w:p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BA0514" w:rsidRDefault="00BA0514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2012г.</w:t>
            </w:r>
          </w:p>
        </w:tc>
      </w:tr>
      <w:tr w:rsidR="00BA0514" w:rsidRPr="00245F13" w:rsidTr="00B2414F">
        <w:tc>
          <w:tcPr>
            <w:tcW w:w="828" w:type="dxa"/>
            <w:vAlign w:val="center"/>
          </w:tcPr>
          <w:p w:rsidR="00BA0514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IX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Всероссийский творческий конкурс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Талантоха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A7367B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«Творческие работы и методические разработки педагогов» -  диплом лауреата; </w:t>
            </w:r>
          </w:p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BA0514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</w:tr>
      <w:tr w:rsidR="00283AAD" w:rsidRPr="00245F13" w:rsidTr="00B2414F">
        <w:tc>
          <w:tcPr>
            <w:tcW w:w="828" w:type="dxa"/>
            <w:vAlign w:val="center"/>
          </w:tcPr>
          <w:p w:rsidR="00283AAD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IX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Всероссийский творческий конкурс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Талантоха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A7367B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«Творческие работы и методические разработки педагогов» «Адаптация ребенка к условиям ДОУ» -  Диплом лауреата; </w:t>
            </w:r>
          </w:p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83AAD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</w:tr>
      <w:tr w:rsidR="00283AAD" w:rsidRPr="00245F13" w:rsidTr="00B2414F">
        <w:tc>
          <w:tcPr>
            <w:tcW w:w="828" w:type="dxa"/>
            <w:vAlign w:val="center"/>
          </w:tcPr>
          <w:p w:rsidR="00283AAD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Всероссийский конкурс информационного центра методического объединения педагогов Сибирского Федерального округа «МАГИСТР» («Опытно – экспериментальная деятельность в познавательном развитии дошкольников») -  Диплом </w:t>
            </w:r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степени;</w:t>
            </w:r>
          </w:p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83AAD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</w:tr>
      <w:tr w:rsidR="00BA0514" w:rsidRPr="00245F13" w:rsidTr="00B2414F">
        <w:tc>
          <w:tcPr>
            <w:tcW w:w="828" w:type="dxa"/>
            <w:vAlign w:val="center"/>
          </w:tcPr>
          <w:p w:rsidR="00BA0514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  <w:vAlign w:val="center"/>
          </w:tcPr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Выступление на заседании РМО по теме : «Эффективность проектной деятельности при ознакомлении дошкольников с объектами живой природы»</w:t>
            </w:r>
          </w:p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BA0514" w:rsidRDefault="00BA0514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</w:tr>
      <w:tr w:rsidR="00283AAD" w:rsidRPr="00245F13" w:rsidTr="00B2414F">
        <w:tc>
          <w:tcPr>
            <w:tcW w:w="828" w:type="dxa"/>
            <w:vAlign w:val="center"/>
          </w:tcPr>
          <w:p w:rsidR="00283AAD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Грамота Международного Конкурса – игры по окружающему миру «Светлячок» центр дополнительного образования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Снейл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»;</w:t>
            </w:r>
          </w:p>
          <w:p w:rsidR="00283AAD" w:rsidRPr="00A7367B" w:rsidRDefault="00283AAD" w:rsidP="00BA05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83AAD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</w:tr>
      <w:tr w:rsidR="00BA0514" w:rsidRPr="00245F13" w:rsidTr="00B2414F">
        <w:tc>
          <w:tcPr>
            <w:tcW w:w="828" w:type="dxa"/>
            <w:vAlign w:val="center"/>
          </w:tcPr>
          <w:p w:rsidR="00BA0514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Участие в региональном заочном конкурсе методических разработок 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педагогов дошкольных образовательных организаций «Край мой Смоленский»;</w:t>
            </w:r>
          </w:p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BA0514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680" w:type="dxa"/>
            <w:vAlign w:val="center"/>
          </w:tcPr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</w:rPr>
              <w:t xml:space="preserve"> Повышение квалификации: Государственное бюджетное образовательное учреждение высшего профессионального образования города Москвы «Московский городской 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</w:rPr>
              <w:t xml:space="preserve"> – педагогический университет» по программе «ФГОС дошкольного образования как основа организации образовательного процесса. Организация образовательной работы с детьми раннего возраста» регистрационный номер У – 14 – 12415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A0514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2014г.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0" w:type="dxa"/>
            <w:vAlign w:val="center"/>
          </w:tcPr>
          <w:p w:rsidR="00BA0514" w:rsidRPr="00A7367B" w:rsidRDefault="00BA0514" w:rsidP="00BA0514">
            <w:pPr>
              <w:rPr>
                <w:color w:val="000000" w:themeColor="text1"/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</w:rPr>
              <w:t xml:space="preserve"> Сертификат издательства «Русское слово»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</w:rPr>
              <w:t>Програмно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</w:rPr>
              <w:t>–методическое обеспечение реализации ФГОС дошкольного образования.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A0514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Свидетельство о публикации Всероссийское издание «Портал образования» методическая разработка «Экспериментальная деятельность в ДОУ с объектами живой природы»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Диплом Всероссийское издание «Портал образования» </w:t>
            </w:r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место во всероссийском конкурсе «Профессиональные компетенции педагогических работников дошкольного образования»;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Диплом «Центр современных образовательных технологий» г.Бийск «За большой вклад в дело воспитания творческой личности, выявление и развитие потенциала одарённости у детей дошкольного возраста»;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283AAD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80" w:type="dxa"/>
            <w:vAlign w:val="center"/>
          </w:tcPr>
          <w:p w:rsidR="00283AAD" w:rsidRPr="00A7367B" w:rsidRDefault="00283AAD" w:rsidP="00283A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Почетная грамота «За достигнутые успехи в организации и совершенствовании воспитательного процесса, формирование интеллектуального, культурного и нравственного развития личности, большой вклад в развитие образования Смоленского района»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 xml:space="preserve">г. </w:t>
            </w:r>
            <w:r w:rsidR="00283AAD">
              <w:rPr>
                <w:sz w:val="28"/>
                <w:szCs w:val="28"/>
              </w:rPr>
              <w:t>Смоленск 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Конкурс «Воспитатель года – 2015» Смоленская область  «Лауреат» 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Смоленск 2015г</w:t>
            </w:r>
            <w:r w:rsidR="00245F13" w:rsidRPr="00245F13">
              <w:rPr>
                <w:sz w:val="28"/>
                <w:szCs w:val="28"/>
              </w:rPr>
              <w:t>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80" w:type="dxa"/>
            <w:vAlign w:val="center"/>
          </w:tcPr>
          <w:p w:rsidR="00245F13" w:rsidRPr="00A7367B" w:rsidRDefault="00BC5C78" w:rsidP="00BC5C78">
            <w:pPr>
              <w:rPr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Почетная грамота «За высокие достижения в труде» Муниципального образования «Смоленский район» Смоленской области</w:t>
            </w:r>
          </w:p>
        </w:tc>
        <w:tc>
          <w:tcPr>
            <w:tcW w:w="4063" w:type="dxa"/>
            <w:vAlign w:val="center"/>
          </w:tcPr>
          <w:p w:rsidR="00245F13" w:rsidRPr="00245F13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2015</w:t>
            </w:r>
            <w:r w:rsidR="00245F13" w:rsidRPr="00245F13">
              <w:rPr>
                <w:sz w:val="28"/>
                <w:szCs w:val="28"/>
              </w:rPr>
              <w:t>г.</w:t>
            </w:r>
          </w:p>
        </w:tc>
      </w:tr>
      <w:tr w:rsidR="00BC5C78" w:rsidRPr="00245F13" w:rsidTr="00B2414F">
        <w:tc>
          <w:tcPr>
            <w:tcW w:w="828" w:type="dxa"/>
            <w:vAlign w:val="center"/>
          </w:tcPr>
          <w:p w:rsidR="00BC5C78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</w:rPr>
              <w:t xml:space="preserve">Аттестация – </w:t>
            </w:r>
            <w:r w:rsidRPr="00A7367B">
              <w:rPr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Pr="00A7367B">
              <w:rPr>
                <w:color w:val="000000" w:themeColor="text1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063" w:type="dxa"/>
            <w:vAlign w:val="center"/>
          </w:tcPr>
          <w:p w:rsidR="00BC5C78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2015г.</w:t>
            </w:r>
          </w:p>
        </w:tc>
      </w:tr>
      <w:tr w:rsidR="00BC5C78" w:rsidRPr="00245F13" w:rsidTr="00B2414F">
        <w:tc>
          <w:tcPr>
            <w:tcW w:w="828" w:type="dxa"/>
            <w:vAlign w:val="center"/>
          </w:tcPr>
          <w:p w:rsidR="00BC5C78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</w:rPr>
            </w:pPr>
            <w:r w:rsidRPr="00A7367B">
              <w:rPr>
                <w:color w:val="000000" w:themeColor="text1"/>
                <w:sz w:val="28"/>
                <w:szCs w:val="28"/>
              </w:rPr>
              <w:t xml:space="preserve"> Сертификат издательства «Русское слово»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</w:rPr>
              <w:t>Програмно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</w:rPr>
              <w:t>–методическое обеспечение реализации ФГОС дошкольного образования.</w:t>
            </w:r>
          </w:p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BC5C78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2015г.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Свидетельство о публикации методической разработки на сайте 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infourok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ru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«Развитие познавательных способностей дошкольников через экспериментальную деятельность с объектами живой природы»,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245F13" w:rsidRPr="00245F13">
              <w:rPr>
                <w:sz w:val="28"/>
                <w:szCs w:val="28"/>
              </w:rPr>
              <w:t>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Благодарственное письмо Центр интеллектуального развития «Пятое измерение» за участие, организацию и методическую помощь в проведении Всероссийского творческого конкурса «Ваша Победа в наших сердцах!»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rStyle w:val="apple-converted-space"/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rStyle w:val="apple-converted-space"/>
                <w:color w:val="000000" w:themeColor="text1"/>
                <w:sz w:val="28"/>
                <w:szCs w:val="28"/>
                <w:lang w:eastAsia="en-US"/>
              </w:rPr>
              <w:t xml:space="preserve">  Благодарность </w:t>
            </w:r>
            <w:r w:rsidRPr="00A7367B">
              <w:rPr>
                <w:color w:val="000000" w:themeColor="text1"/>
                <w:sz w:val="28"/>
                <w:szCs w:val="28"/>
              </w:rPr>
              <w:t xml:space="preserve">«За активное </w:t>
            </w:r>
            <w:r w:rsidRPr="00A7367B">
              <w:rPr>
                <w:color w:val="000000" w:themeColor="text1"/>
                <w:sz w:val="28"/>
                <w:szCs w:val="28"/>
              </w:rPr>
              <w:lastRenderedPageBreak/>
              <w:t xml:space="preserve">участие и подготовку воспитанников к участию в творческом конкурсе чтецов «Смоленщина моя родная»; 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680" w:type="dxa"/>
            <w:vAlign w:val="center"/>
          </w:tcPr>
          <w:p w:rsidR="00BC5C78" w:rsidRPr="00A7367B" w:rsidRDefault="00BC5C78" w:rsidP="00BC5C7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Выступление на РМО мастер – класс «Практические формы и методы применяемые для ознакомления дошкольников на разных возрастных этапах с объектами живой природы»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BC5C78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IX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Всероссийский творческий конкурс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Талантоха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» «Творческие работы и методические разработки педагогов» «Адаптация ребенка к условиям ДОУ» -  Диплом лауреата; 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Сертификат участника программы региональной методической площадки базовой профессиональной образовательной организации, обеспечивающей поддержку региональной системы инклюзивного профессионального образования в смоленской области, «АБИЛИ – МИКС».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г.Смоленск 2017г.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Благодарность от родителей «За высокий профессионализм, чуткое отношение к детям, заботу, внимание, индивидуальный подход к каждой семье, доброту и тепло»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841C67" w:rsidRDefault="00841C67" w:rsidP="00245F13">
            <w:pPr>
              <w:jc w:val="center"/>
              <w:rPr>
                <w:sz w:val="28"/>
                <w:szCs w:val="28"/>
              </w:rPr>
            </w:pPr>
            <w:r w:rsidRPr="00841C67">
              <w:rPr>
                <w:sz w:val="28"/>
                <w:szCs w:val="28"/>
              </w:rPr>
              <w:t>2017г</w:t>
            </w:r>
            <w:r>
              <w:rPr>
                <w:sz w:val="28"/>
                <w:szCs w:val="28"/>
              </w:rPr>
              <w:t>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val="en-US" w:eastAsia="en-US"/>
              </w:rPr>
              <w:t>IX</w:t>
            </w: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Всероссийский творческий конкурс «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Талантоха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» «Итоги по реализации </w:t>
            </w:r>
            <w:proofErr w:type="spell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учебно</w:t>
            </w:r>
            <w:proofErr w:type="spell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– воспитательного плана» </w:t>
            </w:r>
            <w:proofErr w:type="gramStart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-  диплом</w:t>
            </w:r>
            <w:proofErr w:type="gramEnd"/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 xml:space="preserve"> лауреата. 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Выступление в СОИРО перед участниками областного конкурса «Воспитатель года – 2018» мастер – класс на тему: «Экспериментальная деятельность дошкольников с объектами живой природы»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245F13" w:rsidP="00245F13">
            <w:pPr>
              <w:jc w:val="center"/>
              <w:rPr>
                <w:sz w:val="28"/>
                <w:szCs w:val="28"/>
              </w:rPr>
            </w:pPr>
            <w:r w:rsidRPr="00245F13">
              <w:rPr>
                <w:sz w:val="28"/>
                <w:szCs w:val="28"/>
              </w:rPr>
              <w:t xml:space="preserve">г. </w:t>
            </w:r>
            <w:r w:rsidR="00841C67">
              <w:rPr>
                <w:sz w:val="28"/>
                <w:szCs w:val="28"/>
              </w:rPr>
              <w:t>Смоленск 2018г.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Сертификат участника АО «Издательство «Просвещение» конкурс – фестиваль «Играют дети большой страны»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245F13" w:rsidRPr="00245F13">
              <w:rPr>
                <w:sz w:val="28"/>
                <w:szCs w:val="28"/>
              </w:rPr>
              <w:t>г.</w:t>
            </w:r>
          </w:p>
        </w:tc>
      </w:tr>
      <w:tr w:rsidR="00245F13" w:rsidRPr="00245F13" w:rsidTr="00B2414F">
        <w:tc>
          <w:tcPr>
            <w:tcW w:w="828" w:type="dxa"/>
            <w:vAlign w:val="center"/>
          </w:tcPr>
          <w:p w:rsidR="00245F13" w:rsidRPr="00245F13" w:rsidRDefault="00841C67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80" w:type="dxa"/>
            <w:vAlign w:val="center"/>
          </w:tcPr>
          <w:p w:rsidR="00841C67" w:rsidRPr="00A7367B" w:rsidRDefault="00841C67" w:rsidP="00841C6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367B">
              <w:rPr>
                <w:color w:val="000000" w:themeColor="text1"/>
                <w:sz w:val="28"/>
                <w:szCs w:val="28"/>
                <w:lang w:eastAsia="en-US"/>
              </w:rPr>
              <w:t>Сертификат участника программы региональной методической площадки базовой профессиональной образовательной организации, обеспечивающей поддержку региональной системы инклюзивного профессионального образования в смоленской области, «АБИЛИ – МИКС».</w:t>
            </w:r>
          </w:p>
          <w:p w:rsidR="00245F13" w:rsidRPr="00A7367B" w:rsidRDefault="00245F13" w:rsidP="00245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vAlign w:val="center"/>
          </w:tcPr>
          <w:p w:rsidR="00245F13" w:rsidRPr="00245F13" w:rsidRDefault="00A7367B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г.Смоленск </w:t>
            </w:r>
            <w:r w:rsidR="00841C67">
              <w:rPr>
                <w:sz w:val="28"/>
                <w:szCs w:val="28"/>
              </w:rPr>
              <w:t>2018г.</w:t>
            </w:r>
          </w:p>
        </w:tc>
      </w:tr>
      <w:tr w:rsidR="00A7367B" w:rsidRPr="00245F13" w:rsidTr="00B2414F">
        <w:tc>
          <w:tcPr>
            <w:tcW w:w="828" w:type="dxa"/>
            <w:vAlign w:val="center"/>
          </w:tcPr>
          <w:p w:rsidR="00A7367B" w:rsidRDefault="00A7367B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80" w:type="dxa"/>
            <w:vAlign w:val="center"/>
          </w:tcPr>
          <w:p w:rsidR="00A7367B" w:rsidRPr="00A7367B" w:rsidRDefault="00A7367B" w:rsidP="00841C6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Аттестация – высшая квалификационная категория</w:t>
            </w:r>
          </w:p>
        </w:tc>
        <w:tc>
          <w:tcPr>
            <w:tcW w:w="4063" w:type="dxa"/>
            <w:vAlign w:val="center"/>
          </w:tcPr>
          <w:p w:rsidR="00A7367B" w:rsidRDefault="00A7367B" w:rsidP="00245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 2018г.</w:t>
            </w:r>
          </w:p>
        </w:tc>
      </w:tr>
    </w:tbl>
    <w:p w:rsidR="00245F13" w:rsidRPr="00245F13" w:rsidRDefault="00245F13" w:rsidP="00245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5F13" w:rsidRPr="00BD2F61" w:rsidRDefault="00245F13" w:rsidP="004B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5F13" w:rsidRPr="00BD2F61" w:rsidSect="00AF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A43"/>
    <w:multiLevelType w:val="hybridMultilevel"/>
    <w:tmpl w:val="A4B65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3CAD"/>
    <w:multiLevelType w:val="multilevel"/>
    <w:tmpl w:val="F7AA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D2F61"/>
    <w:rsid w:val="00084AB0"/>
    <w:rsid w:val="001234BD"/>
    <w:rsid w:val="00245F13"/>
    <w:rsid w:val="00283AAD"/>
    <w:rsid w:val="002876E7"/>
    <w:rsid w:val="003D483C"/>
    <w:rsid w:val="003D557C"/>
    <w:rsid w:val="004B7EC5"/>
    <w:rsid w:val="00523D18"/>
    <w:rsid w:val="00587B35"/>
    <w:rsid w:val="00611EFE"/>
    <w:rsid w:val="006A30BE"/>
    <w:rsid w:val="00841C67"/>
    <w:rsid w:val="00A60BCC"/>
    <w:rsid w:val="00A7367B"/>
    <w:rsid w:val="00AF0B1E"/>
    <w:rsid w:val="00BA0514"/>
    <w:rsid w:val="00BC5C78"/>
    <w:rsid w:val="00BD2F61"/>
    <w:rsid w:val="00C017A3"/>
    <w:rsid w:val="00C14FEB"/>
    <w:rsid w:val="00C84D43"/>
    <w:rsid w:val="00CD44BA"/>
    <w:rsid w:val="00D84400"/>
    <w:rsid w:val="00DD0B6C"/>
    <w:rsid w:val="00E7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44BA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CD44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4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4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B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B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BA0514"/>
    <w:pPr>
      <w:spacing w:before="120" w:after="12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converted-space">
    <w:name w:val="apple-converted-space"/>
    <w:rsid w:val="00BC5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B386-517C-4F06-B4D8-5E7C5DE1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9</cp:revision>
  <cp:lastPrinted>2020-03-15T12:24:00Z</cp:lastPrinted>
  <dcterms:created xsi:type="dcterms:W3CDTF">2020-03-09T19:49:00Z</dcterms:created>
  <dcterms:modified xsi:type="dcterms:W3CDTF">2020-03-23T17:35:00Z</dcterms:modified>
</cp:coreProperties>
</file>