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05F" w:rsidRPr="001B079C" w:rsidRDefault="00D9505F" w:rsidP="00D9505F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1B079C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Стремительное развитие информационных технологий приводит к тому, что и воспитателю в дошкольном образовательном учреждении не обойтись без компьютера.</w:t>
      </w:r>
    </w:p>
    <w:p w:rsidR="00D9505F" w:rsidRPr="00321282" w:rsidRDefault="00D9505F" w:rsidP="00D9505F">
      <w:pPr>
        <w:shd w:val="clear" w:color="auto" w:fill="FFFFFF"/>
        <w:spacing w:after="240"/>
        <w:jc w:val="both"/>
        <w:outlineLvl w:val="2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32128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     </w:t>
      </w:r>
      <w:r w:rsidRPr="001B079C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Мы видим, что за последние годы произошло коренное изменение роли и места персональных компьютеров и информационных технологий в жизни общества. Без них уже невозможно представить современного человека</w:t>
      </w:r>
      <w:r w:rsidRPr="0032128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</w:p>
    <w:p w:rsidR="00D9505F" w:rsidRPr="00321282" w:rsidRDefault="00D9505F" w:rsidP="006B090A">
      <w:pPr>
        <w:shd w:val="clear" w:color="auto" w:fill="66FF33"/>
        <w:spacing w:after="240"/>
        <w:jc w:val="both"/>
        <w:outlineLvl w:val="2"/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</w:pPr>
      <w:r w:rsidRPr="00321282"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  <w:t xml:space="preserve">     </w:t>
      </w:r>
      <w:r w:rsidRPr="001B079C"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  <w:t xml:space="preserve">Современные дети не представляют себе жизни без телефона, планшета или компьютера. Многие дети учатся пользоваться </w:t>
      </w:r>
      <w:proofErr w:type="spellStart"/>
      <w:r w:rsidRPr="001B079C"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  <w:t>гаджетами</w:t>
      </w:r>
      <w:proofErr w:type="spellEnd"/>
      <w:r w:rsidRPr="001B079C"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  <w:t xml:space="preserve"> еще до того, как начинают говорить, а некоторые даже до того как начинают ходить.</w:t>
      </w:r>
    </w:p>
    <w:p w:rsidR="00D9505F" w:rsidRPr="00321282" w:rsidRDefault="00D9505F" w:rsidP="00D9505F">
      <w:pPr>
        <w:shd w:val="clear" w:color="auto" w:fill="FFFFFF"/>
        <w:spacing w:after="240"/>
        <w:jc w:val="both"/>
        <w:outlineLvl w:val="2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1B079C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  Задача педагогов показать детям, что компьютер и планшет – это не только игрушка и социальные сети (современные дети очень рано</w:t>
      </w:r>
      <w:r w:rsidRPr="001B0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079C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обзаводятся своей страничкой в социальных сетях, даже до того как </w:t>
      </w:r>
      <w:r w:rsidRPr="001B079C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lastRenderedPageBreak/>
        <w:t>пошли в школу), но средство обучения и развития.</w:t>
      </w:r>
      <w:r w:rsidRPr="001B079C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1B0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Современные </w:t>
      </w:r>
      <w:r w:rsidRPr="00321282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педагоги </w:t>
      </w:r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широко используют в работе такие программы как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Microsoft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Office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PowerPoint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,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Microsoft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OfficeWord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,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Microsoft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Office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proofErr w:type="spell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Excel</w:t>
      </w:r>
      <w:proofErr w:type="spell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. Но, как и </w:t>
      </w:r>
      <w:proofErr w:type="gramStart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время</w:t>
      </w:r>
      <w:proofErr w:type="gramEnd"/>
      <w:r w:rsidRPr="001B079C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вокруг,  воспитатель тоже не может стоять на месте. </w:t>
      </w:r>
    </w:p>
    <w:p w:rsidR="00D9505F" w:rsidRPr="00321282" w:rsidRDefault="00D9505F" w:rsidP="006B090A">
      <w:pPr>
        <w:shd w:val="clear" w:color="auto" w:fill="FFFF99"/>
        <w:spacing w:after="240"/>
        <w:jc w:val="center"/>
        <w:outlineLvl w:val="2"/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</w:pPr>
      <w:r w:rsidRPr="001B079C"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  <w:t>Информационно-компьютерные технологии развиваются, постоянно появляются новые программы, которые помогают воспитателю сделать образовательный процесс более интересным, творческим  и интерактивным</w:t>
      </w:r>
      <w:r w:rsidRPr="00321282">
        <w:rPr>
          <w:rFonts w:ascii="Times New Roman" w:eastAsia="Times New Roman" w:hAnsi="Times New Roman" w:cs="Times New Roman"/>
          <w:color w:val="D60093"/>
          <w:sz w:val="28"/>
          <w:szCs w:val="28"/>
          <w:lang w:eastAsia="ru-RU"/>
        </w:rPr>
        <w:t>.</w:t>
      </w:r>
    </w:p>
    <w:p w:rsidR="00696118" w:rsidRDefault="00696118" w:rsidP="00D9505F">
      <w:pPr>
        <w:shd w:val="clear" w:color="auto" w:fill="FFFFFF"/>
        <w:spacing w:after="240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pacing w:val="24"/>
          <w:sz w:val="36"/>
          <w:szCs w:val="36"/>
          <w:lang w:eastAsia="ru-RU"/>
        </w:rPr>
      </w:pPr>
    </w:p>
    <w:p w:rsidR="00132A2B" w:rsidRPr="00132A2B" w:rsidRDefault="00132A2B" w:rsidP="00D9505F">
      <w:pPr>
        <w:shd w:val="clear" w:color="auto" w:fill="FFFFFF"/>
        <w:spacing w:after="240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pacing w:val="24"/>
          <w:sz w:val="36"/>
          <w:szCs w:val="36"/>
          <w:lang w:eastAsia="ru-RU"/>
        </w:rPr>
      </w:pPr>
      <w:r w:rsidRPr="00132A2B">
        <w:rPr>
          <w:rFonts w:ascii="Times New Roman" w:eastAsia="Times New Roman" w:hAnsi="Times New Roman" w:cs="Times New Roman"/>
          <w:b/>
          <w:bCs/>
          <w:color w:val="FF0000"/>
          <w:spacing w:val="24"/>
          <w:sz w:val="36"/>
          <w:szCs w:val="36"/>
          <w:lang w:eastAsia="ru-RU"/>
        </w:rPr>
        <w:t>Что такое LearningApps.org?</w:t>
      </w:r>
    </w:p>
    <w:p w:rsidR="00D9505F" w:rsidRDefault="00132A2B" w:rsidP="00D950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132A2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LearningApps.org является приложением </w:t>
      </w:r>
      <w:proofErr w:type="spellStart"/>
      <w:r w:rsidRPr="00132A2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Web</w:t>
      </w:r>
      <w:proofErr w:type="spellEnd"/>
      <w:r w:rsidRPr="00132A2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2.0 для поддержки обучения с помощью интерактивных модулей. Существующие модули могут быть непосредственно </w:t>
      </w:r>
      <w:r w:rsidRPr="00132A2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lastRenderedPageBreak/>
        <w:t>включены в содержание обучения, а также их можно изменять или создавать в оперативном режиме.</w:t>
      </w:r>
    </w:p>
    <w:p w:rsidR="00132A2B" w:rsidRPr="00132A2B" w:rsidRDefault="00D9505F" w:rsidP="00D950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    </w:t>
      </w:r>
      <w:r w:rsidR="00132A2B" w:rsidRPr="00132A2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132A2B" w:rsidRPr="00132A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Целью</w:t>
      </w:r>
      <w:r w:rsidR="00132A2B" w:rsidRPr="00132A2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является также собрание интерактивных блоков и возможность сделать их общедоступным. Такие блоки (так называемые приложения или упражнения) не включены по этой причине ни в какие программы или конкретные сценарии. </w:t>
      </w:r>
      <w:r w:rsidR="00132A2B" w:rsidRPr="00132A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Они имеют свою ценность, а именно - интерактивность.</w:t>
      </w:r>
    </w:p>
    <w:p w:rsidR="00132A2B" w:rsidRPr="00D9505F" w:rsidRDefault="00D9505F">
      <w:pPr>
        <w:rPr>
          <w:rFonts w:ascii="Times New Roman" w:hAnsi="Times New Roman" w:cs="Times New Roman"/>
          <w:color w:val="7030A0"/>
          <w:sz w:val="24"/>
          <w:szCs w:val="24"/>
        </w:rPr>
      </w:pPr>
      <w:r w:rsidRPr="00D9505F">
        <w:rPr>
          <w:rFonts w:ascii="Times New Roman" w:hAnsi="Times New Roman" w:cs="Times New Roman"/>
          <w:color w:val="7030A0"/>
          <w:sz w:val="24"/>
          <w:szCs w:val="24"/>
        </w:rPr>
        <w:t xml:space="preserve">      </w:t>
      </w:r>
      <w:r w:rsidR="0078446E" w:rsidRPr="00D9505F">
        <w:rPr>
          <w:rFonts w:ascii="Times New Roman" w:hAnsi="Times New Roman" w:cs="Times New Roman"/>
          <w:color w:val="7030A0"/>
          <w:sz w:val="24"/>
          <w:szCs w:val="24"/>
        </w:rPr>
        <w:t xml:space="preserve">  </w:t>
      </w:r>
      <w:r w:rsidR="00132A2B" w:rsidRPr="00D9505F">
        <w:rPr>
          <w:rFonts w:ascii="Times New Roman" w:hAnsi="Times New Roman" w:cs="Times New Roman"/>
          <w:color w:val="7030A0"/>
          <w:sz w:val="24"/>
          <w:szCs w:val="24"/>
        </w:rPr>
        <w:t>Ссылка на интерактивную платформу, где предложены различные варианты создания своих интерактивных игр:</w:t>
      </w:r>
    </w:p>
    <w:p w:rsidR="00A51AF6" w:rsidRDefault="00AC6738" w:rsidP="006B090A">
      <w:pPr>
        <w:shd w:val="clear" w:color="auto" w:fill="00B0F0"/>
        <w:rPr>
          <w:rFonts w:ascii="Times New Roman" w:hAnsi="Times New Roman" w:cs="Times New Roman"/>
          <w:color w:val="7030A0"/>
          <w:sz w:val="32"/>
          <w:szCs w:val="32"/>
        </w:rPr>
      </w:pPr>
      <w:hyperlink r:id="rId6" w:history="1">
        <w:r w:rsidR="00132A2B" w:rsidRPr="0078446E">
          <w:rPr>
            <w:rStyle w:val="a4"/>
            <w:rFonts w:ascii="Times New Roman" w:hAnsi="Times New Roman" w:cs="Times New Roman"/>
            <w:sz w:val="28"/>
            <w:szCs w:val="28"/>
          </w:rPr>
          <w:t>https://learningapps.org/createApp.phphttps://learningapps.org/createApp.php</w:t>
        </w:r>
      </w:hyperlink>
    </w:p>
    <w:p w:rsidR="00132A2B" w:rsidRDefault="00402202" w:rsidP="00D9505F">
      <w:pPr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>
        <w:rPr>
          <w:rFonts w:ascii="Times New Roman" w:hAnsi="Times New Roman" w:cs="Times New Roman"/>
          <w:noProof/>
          <w:color w:val="7030A0"/>
          <w:sz w:val="32"/>
          <w:szCs w:val="32"/>
          <w:lang w:eastAsia="ru-RU"/>
        </w:rPr>
        <w:drawing>
          <wp:inline distT="0" distB="0" distL="0" distR="0">
            <wp:extent cx="2269066" cy="1701800"/>
            <wp:effectExtent l="57150" t="38100" r="35984" b="12700"/>
            <wp:docPr id="4" name="Рисунок 2" descr="D:\документы\рабочий стол\март\IMG_4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\рабочий стол\март\IMG_44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571" cy="1703679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103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40"/>
        <w:gridCol w:w="1763"/>
      </w:tblGrid>
      <w:tr w:rsidR="00132A2B" w:rsidRPr="00132A2B" w:rsidTr="00967488">
        <w:trPr>
          <w:trHeight w:val="372"/>
        </w:trPr>
        <w:tc>
          <w:tcPr>
            <w:tcW w:w="5103" w:type="dxa"/>
            <w:gridSpan w:val="2"/>
            <w:vAlign w:val="bottom"/>
          </w:tcPr>
          <w:p w:rsidR="00132A2B" w:rsidRPr="00132A2B" w:rsidRDefault="00132A2B" w:rsidP="006B090A">
            <w:pPr>
              <w:shd w:val="clear" w:color="auto" w:fill="FFFF99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</w:pPr>
            <w:r w:rsidRPr="00132A2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shd w:val="clear" w:color="auto" w:fill="FFFFFF"/>
              </w:rPr>
              <w:lastRenderedPageBreak/>
              <w:t>Преимущества использования интерактивной игры: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132A2B">
              <w:rPr>
                <w:rFonts w:ascii="Times New Roman" w:eastAsia="Times New Roman" w:hAnsi="Times New Roman" w:cs="Times New Roman"/>
                <w:color w:val="17365D"/>
                <w:sz w:val="28"/>
                <w:szCs w:val="28"/>
                <w:lang w:eastAsia="ru-RU"/>
              </w:rPr>
              <w:t>Информационная ёмкость.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 xml:space="preserve">Компактность, доступность, наглядность, эмоциональная привлекательность, мобильность, многофункциональность. 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 xml:space="preserve">Предъявление информации на экране компьютера в игровой форме вызывают у детей интерес к деятельности. 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>Формирует всесторонне развитую личность.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>Формирует у детей навыки и умения, необходимые нормам возрастного развития.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>Создаёт ситуацию успеха и достижения цели.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>Стимулирует познавательное развитие детей.</w:t>
            </w:r>
          </w:p>
          <w:p w:rsidR="00132A2B" w:rsidRPr="00132A2B" w:rsidRDefault="00132A2B" w:rsidP="00F10748">
            <w:pPr>
              <w:numPr>
                <w:ilvl w:val="0"/>
                <w:numId w:val="1"/>
              </w:numPr>
              <w:spacing w:after="0"/>
              <w:ind w:left="0" w:right="425" w:firstLine="76"/>
              <w:contextualSpacing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  <w:r w:rsidRPr="00132A2B"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>Способствует осуществлению совместной деятельности взрослого и ребёнка.</w:t>
            </w:r>
          </w:p>
          <w:p w:rsidR="00321282" w:rsidRDefault="00321282" w:rsidP="00F10748">
            <w:pPr>
              <w:spacing w:after="0"/>
              <w:ind w:right="425" w:firstLine="76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  <w:t xml:space="preserve">     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Можно создать игры  типа </w:t>
            </w:r>
            <w:r w:rsidRPr="001B079C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«Найди пару»,</w:t>
            </w:r>
            <w:r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«Хронологическая линейка», «Классификация»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другие. </w:t>
            </w:r>
          </w:p>
          <w:p w:rsidR="00321282" w:rsidRDefault="00321282" w:rsidP="00321282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Обозначенный  сервис позволяет делать </w:t>
            </w:r>
            <w:proofErr w:type="spellStart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пазлы</w:t>
            </w:r>
            <w:proofErr w:type="spellEnd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игры типа «Кто хочет </w:t>
            </w:r>
          </w:p>
          <w:p w:rsidR="00321282" w:rsidRDefault="00321282" w:rsidP="00321282">
            <w:pPr>
              <w:spacing w:after="0"/>
              <w:ind w:right="42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стать миллионером». Для неопытных пользователей разработаны удобные подсказки, которые помогут в работе.</w:t>
            </w:r>
          </w:p>
          <w:p w:rsidR="00321282" w:rsidRDefault="00321282" w:rsidP="00321282">
            <w:pPr>
              <w:spacing w:after="0"/>
              <w:ind w:right="42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</w:t>
            </w:r>
            <w:r w:rsidRPr="001B079C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LearningApps.org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позволяет выстраивать тесное взаимодействие с семьями воспитанников. Получая ссылку для отправки по электронной почте или размещения на сайте, игры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можно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отправить сообщением в социальных сетях или через электронную почту.</w:t>
            </w:r>
          </w:p>
          <w:p w:rsidR="00321282" w:rsidRPr="001B079C" w:rsidRDefault="00321282" w:rsidP="006B090A">
            <w:pPr>
              <w:shd w:val="clear" w:color="auto" w:fill="FF66FF"/>
              <w:spacing w:after="0"/>
              <w:ind w:right="425"/>
              <w:contextualSpacing/>
              <w:jc w:val="both"/>
              <w:rPr>
                <w:rFonts w:ascii="Verdana" w:eastAsia="Times New Roman" w:hAnsi="Verdana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Таким образом,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079C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интернет-сервис</w:t>
            </w:r>
            <w:proofErr w:type="gramEnd"/>
            <w:r w:rsidRPr="00321282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 </w:t>
            </w:r>
            <w:r w:rsidRPr="001B079C">
              <w:rPr>
                <w:rFonts w:ascii="Times New Roman" w:eastAsia="Times New Roman" w:hAnsi="Times New Roman" w:cs="Times New Roman"/>
                <w:b/>
                <w:i/>
                <w:color w:val="7030A0"/>
                <w:sz w:val="28"/>
                <w:szCs w:val="28"/>
                <w:lang w:eastAsia="ru-RU"/>
              </w:rPr>
              <w:t>LearningApps.org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есть несколько </w:t>
            </w:r>
            <w:r w:rsidRPr="001B079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положительных направлений: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32128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sym w:font="Wingdings" w:char="F04A"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бесплатный;</w:t>
            </w:r>
          </w:p>
          <w:p w:rsidR="006B090A" w:rsidRPr="006B090A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32128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sym w:font="Wingdings" w:char="F04A"/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возможность работать на </w:t>
            </w:r>
            <w:proofErr w:type="gramStart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</w:t>
            </w:r>
            <w:proofErr w:type="gramEnd"/>
            <w:r w:rsidR="006B0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ском</w:t>
            </w:r>
            <w:proofErr w:type="spellEnd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языке</w:t>
            </w:r>
            <w:proofErr w:type="gramEnd"/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32128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sym w:font="Wingdings" w:char="F04A"/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быстрота создания игры;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32128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sym w:font="Wingdings" w:char="F04A"/>
            </w:r>
            <w:r w:rsidRPr="006B090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моментальная проверка правильности выполнения;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32128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sym w:font="Wingdings" w:char="F04A"/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богатая коллекция разработанных игр, которая постоянно пополняется;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удобства работы имеются готовые шаблоны;</w:t>
            </w:r>
          </w:p>
          <w:p w:rsidR="00321282" w:rsidRPr="001B079C" w:rsidRDefault="00321282" w:rsidP="006B090A">
            <w:pPr>
              <w:numPr>
                <w:ilvl w:val="0"/>
                <w:numId w:val="3"/>
              </w:numPr>
              <w:shd w:val="clear" w:color="auto" w:fill="FF66FF"/>
              <w:spacing w:after="0" w:line="240" w:lineRule="auto"/>
              <w:ind w:left="0" w:right="425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321282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sym w:font="Wingdings" w:char="F04A"/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 делиться ссылкой.</w:t>
            </w:r>
          </w:p>
          <w:p w:rsidR="00321282" w:rsidRDefault="00321282" w:rsidP="00321282">
            <w:pPr>
              <w:spacing w:after="0"/>
              <w:ind w:right="283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1B079C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lang w:eastAsia="ru-RU"/>
              </w:rPr>
              <w:t>Минус  сервиса</w:t>
            </w:r>
            <w:r w:rsidRPr="001B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это невозможность работать без интернета. </w:t>
            </w:r>
          </w:p>
          <w:p w:rsidR="0078446E" w:rsidRPr="00967488" w:rsidRDefault="0078446E" w:rsidP="00F10748">
            <w:pPr>
              <w:shd w:val="clear" w:color="auto" w:fill="5FF2CA" w:themeFill="accent4" w:themeFillTint="99"/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  <w:lastRenderedPageBreak/>
              <w:t>Муниципальное  дошкольное  образовательное учреждение</w:t>
            </w:r>
          </w:p>
          <w:p w:rsidR="0078446E" w:rsidRDefault="0078446E" w:rsidP="00F10748">
            <w:pPr>
              <w:shd w:val="clear" w:color="auto" w:fill="5FF2CA" w:themeFill="accent4" w:themeFillTint="99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  <w:t>МДОУ № 79</w:t>
            </w:r>
          </w:p>
          <w:p w:rsidR="00402202" w:rsidRDefault="00402202" w:rsidP="00F10748">
            <w:pPr>
              <w:shd w:val="clear" w:color="auto" w:fill="5FF2CA" w:themeFill="accent4" w:themeFillTint="99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  <w:t>Раменского городского округа</w:t>
            </w:r>
          </w:p>
          <w:p w:rsidR="00D143F7" w:rsidRDefault="00D143F7" w:rsidP="006B090A">
            <w:pPr>
              <w:shd w:val="clear" w:color="auto" w:fill="66FF66"/>
              <w:ind w:left="567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78446E" w:rsidRDefault="0078446E" w:rsidP="006B090A">
            <w:pPr>
              <w:shd w:val="clear" w:color="auto" w:fill="66FF66"/>
              <w:ind w:left="567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  <w:t xml:space="preserve">Использование </w:t>
            </w:r>
            <w:proofErr w:type="spellStart"/>
            <w:proofErr w:type="gramStart"/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  <w:t>интернет-сервисов</w:t>
            </w:r>
            <w:proofErr w:type="spellEnd"/>
            <w:proofErr w:type="gramEnd"/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  <w:t xml:space="preserve"> для создания интерактивных игр, применяемых для успешного развития дошкольника</w:t>
            </w:r>
          </w:p>
          <w:p w:rsidR="00D143F7" w:rsidRDefault="00D143F7" w:rsidP="006B090A">
            <w:pPr>
              <w:shd w:val="clear" w:color="auto" w:fill="66FF66"/>
              <w:ind w:left="5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</w:p>
          <w:p w:rsidR="00D143F7" w:rsidRDefault="00D143F7" w:rsidP="006B090A">
            <w:pPr>
              <w:shd w:val="clear" w:color="auto" w:fill="FFFFFF" w:themeFill="background1"/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</w:p>
          <w:p w:rsidR="00D143F7" w:rsidRDefault="00D143F7" w:rsidP="006B090A">
            <w:pPr>
              <w:shd w:val="clear" w:color="auto" w:fill="FFFFFF" w:themeFill="background1"/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7030A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-2117090</wp:posOffset>
                  </wp:positionV>
                  <wp:extent cx="2635250" cy="1957705"/>
                  <wp:effectExtent l="57150" t="38100" r="31750" b="23495"/>
                  <wp:wrapTight wrapText="bothSides">
                    <wp:wrapPolygon edited="0">
                      <wp:start x="-468" y="-420"/>
                      <wp:lineTo x="-468" y="21859"/>
                      <wp:lineTo x="21860" y="21859"/>
                      <wp:lineTo x="21860" y="-420"/>
                      <wp:lineTo x="-468" y="-420"/>
                    </wp:wrapPolygon>
                  </wp:wrapTight>
                  <wp:docPr id="2" name="Рисунок 1" descr="D:\документы\рабочий стол\март\IMG_4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\рабочий стол\март\IMG_44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577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446E" w:rsidRPr="0096748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Автор: воспитатель Волкова О.А</w:t>
            </w:r>
          </w:p>
          <w:p w:rsidR="00D143F7" w:rsidRPr="00D143F7" w:rsidRDefault="00AC6738" w:rsidP="006B090A">
            <w:pPr>
              <w:shd w:val="clear" w:color="auto" w:fill="FFFFFF" w:themeFill="background1"/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hyperlink r:id="rId9" w:history="1">
              <w:r w:rsidR="00D143F7" w:rsidRPr="00D143F7">
                <w:rPr>
                  <w:rStyle w:val="a4"/>
                  <w:rFonts w:ascii="Times New Roman" w:eastAsia="Calibri" w:hAnsi="Times New Roman" w:cs="Times New Roman"/>
                  <w:b/>
                  <w:color w:val="0070C0"/>
                  <w:sz w:val="24"/>
                  <w:szCs w:val="24"/>
                </w:rPr>
                <w:t>https://oavolkova.edumsko.ru</w:t>
              </w:r>
            </w:hyperlink>
          </w:p>
          <w:p w:rsidR="0078446E" w:rsidRPr="00D143F7" w:rsidRDefault="0078446E" w:rsidP="006B090A">
            <w:pPr>
              <w:shd w:val="clear" w:color="auto" w:fill="FFFFFF" w:themeFill="background1"/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</w:pPr>
            <w:r w:rsidRPr="00D143F7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lastRenderedPageBreak/>
              <w:t>.</w:t>
            </w: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78446E" w:rsidRDefault="0078446E" w:rsidP="006B090A">
            <w:pPr>
              <w:shd w:val="clear" w:color="auto" w:fill="FFFFFF" w:themeFill="background1"/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8446E" w:rsidRDefault="0078446E" w:rsidP="00967488">
            <w:pPr>
              <w:spacing w:after="0"/>
              <w:ind w:right="11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967488" w:rsidRPr="00967488" w:rsidRDefault="00967488" w:rsidP="009674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  <w:t>Муниципальное  дошкольное  образовательное учреждение</w:t>
            </w: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  <w:t>МДОУ № 79</w:t>
            </w:r>
          </w:p>
          <w:p w:rsidR="0078446E" w:rsidRDefault="0078446E" w:rsidP="00967488">
            <w:pPr>
              <w:ind w:left="567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967488" w:rsidRPr="00967488" w:rsidRDefault="00967488" w:rsidP="00967488">
            <w:pPr>
              <w:ind w:left="567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  <w:t xml:space="preserve">Использование </w:t>
            </w:r>
            <w:proofErr w:type="spellStart"/>
            <w:proofErr w:type="gramStart"/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  <w:t>интернет-сервисов</w:t>
            </w:r>
            <w:proofErr w:type="spellEnd"/>
            <w:proofErr w:type="gramEnd"/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  <w:t xml:space="preserve"> для создания интерактивных игр, применяемых для успешного развития дошкольника</w:t>
            </w:r>
          </w:p>
          <w:p w:rsidR="00967488" w:rsidRDefault="00967488" w:rsidP="00967488">
            <w:pPr>
              <w:ind w:left="5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</w:pPr>
          </w:p>
          <w:p w:rsidR="0078446E" w:rsidRDefault="0078446E" w:rsidP="00967488">
            <w:pPr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</w:p>
          <w:p w:rsidR="0078446E" w:rsidRDefault="0078446E" w:rsidP="00967488">
            <w:pPr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7030A0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718820</wp:posOffset>
                  </wp:positionH>
                  <wp:positionV relativeFrom="paragraph">
                    <wp:posOffset>-1880870</wp:posOffset>
                  </wp:positionV>
                  <wp:extent cx="2203450" cy="1803400"/>
                  <wp:effectExtent l="57150" t="38100" r="44450" b="25400"/>
                  <wp:wrapTight wrapText="bothSides">
                    <wp:wrapPolygon edited="0">
                      <wp:start x="-560" y="-456"/>
                      <wp:lineTo x="-560" y="21904"/>
                      <wp:lineTo x="22036" y="21904"/>
                      <wp:lineTo x="22036" y="-456"/>
                      <wp:lineTo x="-560" y="-456"/>
                    </wp:wrapPolygon>
                  </wp:wrapTight>
                  <wp:docPr id="3" name="Рисунок 1" descr="D:\документы\рабочий стол\smallLogo_400x4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\рабочий стол\smallLogo_400x4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8034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67488" w:rsidRPr="00967488" w:rsidRDefault="00967488" w:rsidP="00967488">
            <w:pPr>
              <w:ind w:left="-1134" w:firstLine="1134"/>
              <w:jc w:val="righ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967488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  <w:t>Автор: воспитатель Волкова О.А.</w:t>
            </w: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967488" w:rsidRPr="00967488" w:rsidRDefault="00967488" w:rsidP="00967488">
            <w:pPr>
              <w:ind w:left="-1134" w:firstLine="1134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32"/>
                <w:szCs w:val="32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7488" w:rsidRPr="00132A2B" w:rsidRDefault="00967488" w:rsidP="00967488">
            <w:pPr>
              <w:spacing w:after="0"/>
              <w:ind w:right="1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2A2B" w:rsidRPr="00132A2B" w:rsidRDefault="00132A2B" w:rsidP="00132A2B">
            <w:pPr>
              <w:tabs>
                <w:tab w:val="left" w:pos="5043"/>
              </w:tabs>
              <w:spacing w:after="0"/>
              <w:ind w:right="644"/>
              <w:jc w:val="both"/>
              <w:rPr>
                <w:rFonts w:ascii="Times New Roman" w:eastAsia="Calibri" w:hAnsi="Times New Roman" w:cs="Times New Roman"/>
                <w:color w:val="17365D"/>
                <w:sz w:val="28"/>
                <w:szCs w:val="28"/>
              </w:rPr>
            </w:pPr>
          </w:p>
          <w:p w:rsidR="00132A2B" w:rsidRPr="00132A2B" w:rsidRDefault="00132A2B" w:rsidP="00132A2B">
            <w:pPr>
              <w:spacing w:after="0"/>
              <w:ind w:left="3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A2B" w:rsidRPr="00132A2B" w:rsidTr="00967488">
        <w:trPr>
          <w:gridAfter w:val="1"/>
          <w:wAfter w:w="1763" w:type="dxa"/>
          <w:trHeight w:val="481"/>
        </w:trPr>
        <w:tc>
          <w:tcPr>
            <w:tcW w:w="3340" w:type="dxa"/>
            <w:vMerge w:val="restart"/>
            <w:vAlign w:val="bottom"/>
          </w:tcPr>
          <w:p w:rsidR="00132A2B" w:rsidRPr="00132A2B" w:rsidRDefault="00132A2B" w:rsidP="00132A2B">
            <w:pPr>
              <w:spacing w:after="0"/>
              <w:ind w:left="3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A2B" w:rsidRPr="00132A2B" w:rsidTr="00967488">
        <w:trPr>
          <w:gridAfter w:val="1"/>
          <w:wAfter w:w="1763" w:type="dxa"/>
          <w:trHeight w:val="439"/>
        </w:trPr>
        <w:tc>
          <w:tcPr>
            <w:tcW w:w="3340" w:type="dxa"/>
            <w:vMerge/>
            <w:vAlign w:val="bottom"/>
          </w:tcPr>
          <w:p w:rsidR="00132A2B" w:rsidRPr="00132A2B" w:rsidRDefault="00132A2B" w:rsidP="00132A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A2B" w:rsidRPr="00132A2B" w:rsidRDefault="00132A2B" w:rsidP="00132A2B">
      <w:pPr>
        <w:rPr>
          <w:rFonts w:ascii="Times New Roman" w:hAnsi="Times New Roman" w:cs="Times New Roman"/>
          <w:color w:val="7030A0"/>
          <w:sz w:val="28"/>
          <w:szCs w:val="28"/>
        </w:rPr>
      </w:pPr>
    </w:p>
    <w:p w:rsidR="00132A2B" w:rsidRPr="00132A2B" w:rsidRDefault="00132A2B" w:rsidP="00132A2B">
      <w:pPr>
        <w:rPr>
          <w:rFonts w:ascii="Times New Roman" w:hAnsi="Times New Roman" w:cs="Times New Roman"/>
          <w:color w:val="7030A0"/>
          <w:sz w:val="32"/>
          <w:szCs w:val="32"/>
        </w:rPr>
      </w:pPr>
    </w:p>
    <w:sectPr w:rsidR="00132A2B" w:rsidRPr="00132A2B" w:rsidSect="00696118">
      <w:pgSz w:w="16838" w:h="11906" w:orient="landscape"/>
      <w:pgMar w:top="851" w:right="964" w:bottom="851" w:left="851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498A"/>
    <w:multiLevelType w:val="hybridMultilevel"/>
    <w:tmpl w:val="20B87EE6"/>
    <w:lvl w:ilvl="0" w:tplc="DE60B522">
      <w:start w:val="1"/>
      <w:numFmt w:val="decimal"/>
      <w:lvlText w:val="%1."/>
      <w:lvlJc w:val="left"/>
      <w:pPr>
        <w:ind w:left="436" w:hanging="360"/>
      </w:pPr>
      <w:rPr>
        <w:color w:val="1F497D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9042EE1"/>
    <w:multiLevelType w:val="multilevel"/>
    <w:tmpl w:val="4736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B5759B"/>
    <w:multiLevelType w:val="multilevel"/>
    <w:tmpl w:val="F652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2A2B"/>
    <w:rsid w:val="00080E7F"/>
    <w:rsid w:val="00084664"/>
    <w:rsid w:val="000B4819"/>
    <w:rsid w:val="000B6EAD"/>
    <w:rsid w:val="000C5CC1"/>
    <w:rsid w:val="0010728D"/>
    <w:rsid w:val="00131C2F"/>
    <w:rsid w:val="00132A2B"/>
    <w:rsid w:val="001A7D31"/>
    <w:rsid w:val="001C4CC2"/>
    <w:rsid w:val="001D0986"/>
    <w:rsid w:val="001D4A24"/>
    <w:rsid w:val="002179A3"/>
    <w:rsid w:val="00226A4F"/>
    <w:rsid w:val="002463B2"/>
    <w:rsid w:val="002759A7"/>
    <w:rsid w:val="00321282"/>
    <w:rsid w:val="00381020"/>
    <w:rsid w:val="003872EB"/>
    <w:rsid w:val="003D51A9"/>
    <w:rsid w:val="00402202"/>
    <w:rsid w:val="00436037"/>
    <w:rsid w:val="00451E13"/>
    <w:rsid w:val="004A68FC"/>
    <w:rsid w:val="004B4F12"/>
    <w:rsid w:val="004B5D32"/>
    <w:rsid w:val="004C1027"/>
    <w:rsid w:val="004C5A3D"/>
    <w:rsid w:val="004E19A1"/>
    <w:rsid w:val="004F418E"/>
    <w:rsid w:val="00536D5F"/>
    <w:rsid w:val="00557602"/>
    <w:rsid w:val="00566C89"/>
    <w:rsid w:val="00573954"/>
    <w:rsid w:val="005A2D8F"/>
    <w:rsid w:val="005B220A"/>
    <w:rsid w:val="005C0121"/>
    <w:rsid w:val="005C41F2"/>
    <w:rsid w:val="00641E04"/>
    <w:rsid w:val="00655F38"/>
    <w:rsid w:val="00671A72"/>
    <w:rsid w:val="00682B83"/>
    <w:rsid w:val="0068363C"/>
    <w:rsid w:val="00694531"/>
    <w:rsid w:val="00696118"/>
    <w:rsid w:val="006B090A"/>
    <w:rsid w:val="006C2831"/>
    <w:rsid w:val="006D6563"/>
    <w:rsid w:val="006F1AAA"/>
    <w:rsid w:val="006F2E2C"/>
    <w:rsid w:val="00737582"/>
    <w:rsid w:val="007566D1"/>
    <w:rsid w:val="00764A81"/>
    <w:rsid w:val="00776031"/>
    <w:rsid w:val="0078446E"/>
    <w:rsid w:val="007A12D0"/>
    <w:rsid w:val="007B1724"/>
    <w:rsid w:val="007D0A10"/>
    <w:rsid w:val="007D2ACE"/>
    <w:rsid w:val="007E464F"/>
    <w:rsid w:val="00825C67"/>
    <w:rsid w:val="00860305"/>
    <w:rsid w:val="00874C06"/>
    <w:rsid w:val="0089229B"/>
    <w:rsid w:val="008925FE"/>
    <w:rsid w:val="008A45A2"/>
    <w:rsid w:val="008C2557"/>
    <w:rsid w:val="008F08DA"/>
    <w:rsid w:val="009164E7"/>
    <w:rsid w:val="00917120"/>
    <w:rsid w:val="00967488"/>
    <w:rsid w:val="00994B8E"/>
    <w:rsid w:val="009A77C0"/>
    <w:rsid w:val="009A77EB"/>
    <w:rsid w:val="009B6464"/>
    <w:rsid w:val="009B6D53"/>
    <w:rsid w:val="009F61B6"/>
    <w:rsid w:val="00A204F2"/>
    <w:rsid w:val="00A51AF6"/>
    <w:rsid w:val="00A709F9"/>
    <w:rsid w:val="00A73011"/>
    <w:rsid w:val="00A732A0"/>
    <w:rsid w:val="00A8479B"/>
    <w:rsid w:val="00AC05B3"/>
    <w:rsid w:val="00AC6738"/>
    <w:rsid w:val="00B07272"/>
    <w:rsid w:val="00B45E5C"/>
    <w:rsid w:val="00B52EA9"/>
    <w:rsid w:val="00B643DD"/>
    <w:rsid w:val="00BC730C"/>
    <w:rsid w:val="00BD09CE"/>
    <w:rsid w:val="00BE6AF3"/>
    <w:rsid w:val="00BE725D"/>
    <w:rsid w:val="00BF3F65"/>
    <w:rsid w:val="00C2771C"/>
    <w:rsid w:val="00C3007C"/>
    <w:rsid w:val="00C32A47"/>
    <w:rsid w:val="00C54EC5"/>
    <w:rsid w:val="00C67446"/>
    <w:rsid w:val="00C9727C"/>
    <w:rsid w:val="00CC0877"/>
    <w:rsid w:val="00CF52D8"/>
    <w:rsid w:val="00D143F7"/>
    <w:rsid w:val="00D3428F"/>
    <w:rsid w:val="00D648EB"/>
    <w:rsid w:val="00D905C3"/>
    <w:rsid w:val="00D9505F"/>
    <w:rsid w:val="00D97481"/>
    <w:rsid w:val="00DB09A4"/>
    <w:rsid w:val="00DD6CBF"/>
    <w:rsid w:val="00DE5002"/>
    <w:rsid w:val="00DE6DD1"/>
    <w:rsid w:val="00E031E9"/>
    <w:rsid w:val="00E62828"/>
    <w:rsid w:val="00E81B63"/>
    <w:rsid w:val="00EA4C33"/>
    <w:rsid w:val="00EC2E32"/>
    <w:rsid w:val="00ED759B"/>
    <w:rsid w:val="00EE5624"/>
    <w:rsid w:val="00EF335C"/>
    <w:rsid w:val="00EF462E"/>
    <w:rsid w:val="00EF7710"/>
    <w:rsid w:val="00F10748"/>
    <w:rsid w:val="00F220CD"/>
    <w:rsid w:val="00F325E2"/>
    <w:rsid w:val="00F607B4"/>
    <w:rsid w:val="00F66E9C"/>
    <w:rsid w:val="00F751C5"/>
    <w:rsid w:val="00F83D65"/>
    <w:rsid w:val="00F874FC"/>
    <w:rsid w:val="00F91622"/>
    <w:rsid w:val="00FA5C34"/>
    <w:rsid w:val="00FE567F"/>
    <w:rsid w:val="00FE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F6"/>
  </w:style>
  <w:style w:type="paragraph" w:styleId="3">
    <w:name w:val="heading 3"/>
    <w:basedOn w:val="a"/>
    <w:link w:val="30"/>
    <w:uiPriority w:val="9"/>
    <w:qFormat/>
    <w:rsid w:val="00132A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A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3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32A2B"/>
    <w:rPr>
      <w:color w:val="E2D700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0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4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5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createApp.phphttps://learningapps.org/createApp.ph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oavolkova.edumsko.ru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3471A-BED7-4063-95DB-877BE526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cp:lastPrinted>2020-02-01T10:27:00Z</cp:lastPrinted>
  <dcterms:created xsi:type="dcterms:W3CDTF">2020-02-01T09:09:00Z</dcterms:created>
  <dcterms:modified xsi:type="dcterms:W3CDTF">2020-04-08T10:50:00Z</dcterms:modified>
</cp:coreProperties>
</file>