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Паспорт проекта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на развитие мелкой моторики рук и сенсорного восприятия детей 2-3 лет»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младшая группа №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rtl w:val="off"/>
        </w:rPr>
        <w:t>Полянка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Савридинова Е.Н.</w:t>
      </w:r>
    </w:p>
    <w:p>
      <w:pPr>
        <w:rPr>
          <w:rtl w:val="off"/>
        </w:rPr>
      </w:pPr>
    </w:p>
    <w:p/>
    <w:p>
      <w:pPr>
        <w:jc w:val="center"/>
        <w:rPr>
          <w:rFonts w:ascii="Times New Roman" w:hAnsi="Times New Roman" w:cs="Times New Roman"/>
          <w:b w:val="0"/>
          <w:sz w:val="28"/>
          <w:szCs w:val="28"/>
          <w:rtl w:val="off"/>
        </w:rPr>
      </w:pPr>
      <w:r>
        <w:rPr>
          <w:rFonts w:ascii="Times New Roman" w:hAnsi="Times New Roman" w:cs="Times New Roman"/>
          <w:b w:val="0"/>
          <w:sz w:val="28"/>
          <w:szCs w:val="28"/>
          <w:rtl w:val="off"/>
        </w:rPr>
        <w:t>Тольятти</w:t>
      </w:r>
    </w:p>
    <w:p>
      <w:pPr>
        <w:jc w:val="center"/>
        <w:rPr>
          <w:rFonts w:ascii="Times New Roman" w:hAnsi="Times New Roman" w:cs="Times New Roman"/>
          <w:b w:val="0"/>
          <w:sz w:val="28"/>
          <w:szCs w:val="28"/>
          <w:rtl w:val="off"/>
        </w:rPr>
      </w:pPr>
      <w:r>
        <w:rPr>
          <w:rFonts w:ascii="Times New Roman" w:hAnsi="Times New Roman" w:cs="Times New Roman"/>
          <w:b w:val="0"/>
          <w:sz w:val="28"/>
          <w:szCs w:val="28"/>
          <w:rtl w:val="off"/>
        </w:rPr>
        <w:t>2021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«Игры на развитие мелкой моторики рук и сенсорного восприятия детей 2-3 лет»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поле: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дидактических игр для развития моторики и сенсорики своими руками.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Основной задачей раннего развития ребенка в 2-3 года является развитие сенсорики, мелкой моторики и координации движений. Хорошим помощником в развитии мелкой моторики для детей являются различные развивающие игрушки.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 дошкольников:</w:t>
      </w:r>
      <w:r>
        <w:rPr>
          <w:rFonts w:ascii="Times New Roman" w:hAnsi="Times New Roman" w:cs="Times New Roman"/>
          <w:sz w:val="28"/>
          <w:szCs w:val="28"/>
        </w:rPr>
        <w:t xml:space="preserve"> Игра в дошкольном возрасте – ведущий вид деятельности детей. Игра является источником обширной информации, методом обучения и воспитания ребят. С её помощью создаются условия для развития творческих способностей, всестороннего развития ребёнка. Изготовление дидактических игр.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 над проектом воспитателя: </w:t>
      </w:r>
      <w:r>
        <w:rPr>
          <w:rFonts w:ascii="Times New Roman" w:hAnsi="Times New Roman" w:cs="Times New Roman"/>
          <w:sz w:val="28"/>
          <w:szCs w:val="28"/>
        </w:rPr>
        <w:t>поиск новых методов и приёмов работы с детьми; пробудить в детях интерес к игре.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Задачи работы над проектом для дошкольников:</w:t>
      </w:r>
      <w:r>
        <w:rPr>
          <w:rFonts w:ascii="Times New Roman" w:hAnsi="Times New Roman" w:cs="Times New Roman"/>
          <w:sz w:val="28"/>
          <w:szCs w:val="28"/>
        </w:rPr>
        <w:t xml:space="preserve">  развитие мелкой моторики рук, чувства восприятия цвета и формы предметов.</w:t>
      </w: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работы над проектом воспитателя: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>
      <w:pPr>
        <w:pStyle w:val="af3"/>
        <w:jc w:val="bot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 и интерес к различным видам игр;</w:t>
      </w:r>
    </w:p>
    <w:p>
      <w:pPr>
        <w:pStyle w:val="af3"/>
        <w:jc w:val="bot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игровому материалу.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>
      <w:pPr>
        <w:pStyle w:val="af3"/>
        <w:jc w:val="bot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новые знания, умения, навыки;</w:t>
      </w:r>
    </w:p>
    <w:p>
      <w:pPr>
        <w:pStyle w:val="af3"/>
        <w:jc w:val="bot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кругозор детей и словарный запас.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>
      <w:pPr>
        <w:pStyle w:val="af3"/>
        <w:jc w:val="bot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творческих и интеллектуальных способностей воспитанников;</w:t>
      </w:r>
    </w:p>
    <w:p>
      <w:pPr>
        <w:pStyle w:val="af3"/>
        <w:ind w:left="709"/>
        <w:jc w:val="bot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родителей к изготовлению игр.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долгосрочный.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 месяц</w:t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Разделы Программы</w:t>
      </w:r>
    </w:p>
    <w:tbl>
      <w:tblPr>
        <w:tblStyle w:val="afffff1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>
        <w:tc>
          <w:tcPr>
            <w:tcW w:w="2943" w:type="dxa"/>
            <w:vAlign w:val="top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</w:p>
        </w:tc>
        <w:tc>
          <w:tcPr>
            <w:tcW w:w="6628" w:type="dxa"/>
            <w:vAlign w:val="top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</w:tr>
      <w:tr>
        <w:tc>
          <w:tcPr>
            <w:tcW w:w="2943" w:type="dxa"/>
            <w:vAlign w:val="top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Познаватальное развитие</w:t>
            </w:r>
          </w:p>
        </w:tc>
        <w:tc>
          <w:tcPr>
            <w:tcW w:w="6628" w:type="dxa"/>
            <w:vAlign w:val="top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детей о форме и цвете предметов.</w:t>
            </w:r>
          </w:p>
        </w:tc>
      </w:tr>
      <w:tr>
        <w:trPr>
          <w:trHeight w:val="975" w:hRule="atLeast"/>
        </w:trPr>
        <w:tc>
          <w:tcPr>
            <w:tcW w:w="2943" w:type="dxa"/>
            <w:vAlign w:val="top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Речевое развитие</w:t>
            </w:r>
          </w:p>
        </w:tc>
        <w:tc>
          <w:tcPr>
            <w:tcW w:w="6628" w:type="dxa"/>
            <w:vAlign w:val="top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словаря, развитие свободного общения взрослых с детьми; формировать умение вести диалог с педагогом.</w:t>
            </w:r>
          </w:p>
        </w:tc>
      </w:tr>
      <w:tr>
        <w:trPr>
          <w:trHeight w:val="975" w:hRule="atLeast"/>
        </w:trPr>
        <w:tc>
          <w:tcPr>
            <w:tcW w:w="2943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Социально-коммуникативное развитие</w:t>
            </w:r>
          </w:p>
        </w:tc>
        <w:tc>
          <w:tcPr>
            <w:tcW w:w="6628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совместной игровой деятельности детей; формирование доброжелательных отношений между детьми.</w:t>
            </w:r>
          </w:p>
        </w:tc>
      </w:tr>
      <w:tr>
        <w:tc>
          <w:tcPr>
            <w:tcW w:w="2943" w:type="dxa"/>
            <w:vAlign w:val="top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ое развитие</w:t>
            </w:r>
          </w:p>
        </w:tc>
        <w:tc>
          <w:tcPr>
            <w:tcW w:w="6628" w:type="dxa"/>
            <w:vAlign w:val="top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рук.</w:t>
            </w:r>
          </w:p>
        </w:tc>
      </w:tr>
      <w:tr>
        <w:tc>
          <w:tcPr>
            <w:tcW w:w="2943" w:type="dxa"/>
            <w:vAlign w:val="top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-эстетическое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28" w:type="dxa"/>
            <w:vAlign w:val="top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детей.</w:t>
            </w:r>
          </w:p>
        </w:tc>
      </w:tr>
    </w:tbl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«Надпредметная» информация,  необходимая для выполнения проекта:</w:t>
      </w:r>
    </w:p>
    <w:p>
      <w:pPr>
        <w:pStyle w:val="af3"/>
        <w:jc w:val="bot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и рассуждение с родителями, из какого материала можно изготовить игры. </w:t>
      </w:r>
    </w:p>
    <w:p>
      <w:pPr>
        <w:pStyle w:val="c2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 w:line="360" w:lineRule="auto"/>
        <w:rPr>
          <w:rStyle w:val="c1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Консультация для родителей </w:t>
      </w:r>
      <w:r>
        <w:rPr>
          <w:rStyle w:val="c1"/>
          <w:bCs/>
          <w:color w:val="000000"/>
          <w:sz w:val="28"/>
          <w:szCs w:val="28"/>
        </w:rPr>
        <w:t>«Развитие мелкой моторики рук и сенсорного восприятия у детей».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дошкольников и родителей,  участвующих в проекте: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родители и дети  желающие принять участие. </w:t>
      </w:r>
    </w:p>
    <w:p>
      <w:pPr>
        <w:ind w:left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ресурсы, необходимые для выполнения проекта: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Расходный материал для изготовления дидактических игр по выбору  родителей (дерево, пластик, картон и т.п.).</w:t>
      </w:r>
    </w:p>
    <w:p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 презентации: </w:t>
      </w:r>
      <w:r>
        <w:rPr>
          <w:rFonts w:ascii="Times New Roman" w:hAnsi="Times New Roman" w:cs="Times New Roman"/>
          <w:sz w:val="28"/>
          <w:szCs w:val="28"/>
        </w:rPr>
        <w:t>выставка работ «Игры для развития моторики и сенсорики у детей своими руками».</w:t>
      </w:r>
    </w:p>
    <w:p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rtl w:val="off"/>
        </w:rPr>
      </w:pPr>
    </w:p>
    <w:p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tbl>
      <w:tblPr>
        <w:tblStyle w:val="afffff1"/>
        <w:tblW w:w="0" w:type="auto"/>
        <w:tblLook w:val="04A0" w:firstRow="1" w:lastRow="0" w:firstColumn="1" w:lastColumn="0" w:noHBand="0" w:noVBand="1"/>
      </w:tblPr>
      <w:tblGrid>
        <w:gridCol w:w="506"/>
        <w:gridCol w:w="1020"/>
        <w:gridCol w:w="4225"/>
        <w:gridCol w:w="3934"/>
      </w:tblGrid>
      <w:tr>
        <w:trPr>
          <w:cantSplit/>
          <w:trHeight w:val="979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родителей/детей на различных этапах проекта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воспитателя на различных этапах проекта</w:t>
            </w:r>
          </w:p>
        </w:tc>
      </w:tr>
      <w:tr>
        <w:trPr>
          <w:cantSplit/>
          <w:trHeight w:val="1829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Поисковый</w:t>
            </w: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Вхождение в проблему. Вживание в ситуацию.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задачи.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 проекта.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 /цели.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ситуацию. Формулировка задачи.</w:t>
            </w:r>
          </w:p>
        </w:tc>
      </w:tr>
      <w:tr>
        <w:trPr>
          <w:cantSplit/>
          <w:trHeight w:val="1982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Аналитический</w:t>
            </w:r>
          </w:p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Дополнение задач проекта.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решении задачи.</w:t>
            </w:r>
          </w:p>
        </w:tc>
      </w:tr>
      <w:tr>
        <w:trPr>
          <w:cantSplit/>
          <w:trHeight w:val="1969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дидактических игр для выставки и дальнейшего применения в игровой деятельности детей.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специфических знаний, умений, навыков.</w:t>
            </w:r>
          </w:p>
        </w:tc>
      </w:tr>
      <w:tr>
        <w:trPr>
          <w:cantSplit/>
          <w:trHeight w:val="2407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Презентационный</w:t>
            </w: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Готовят/приносят продукт деятельности (дидактические игры) для выставки.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дидактических игр.</w:t>
            </w:r>
          </w:p>
        </w:tc>
      </w:tr>
      <w:tr>
        <w:trPr>
          <w:cantSplit/>
          <w:trHeight w:val="2125" w:hRule="atLeast"/>
        </w:trPr>
        <w:tc>
          <w:tcPr>
            <w:tcW w:w="506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</w:t>
            </w:r>
          </w:p>
        </w:tc>
        <w:tc>
          <w:tcPr>
            <w:tcW w:w="1020" w:type="dxa"/>
            <w:textDirection w:val="btLr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дня</w:t>
            </w:r>
          </w:p>
        </w:tc>
        <w:tc>
          <w:tcPr>
            <w:tcW w:w="422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Представляют продукт деятельности (дидактические игры) зрителям/экспертам (дети и воспитатели других групп, родители).</w:t>
            </w:r>
          </w:p>
        </w:tc>
        <w:tc>
          <w:tcPr>
            <w:tcW w:w="39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анализ выполнения проекта, обобщение результата.</w:t>
            </w:r>
          </w:p>
        </w:tc>
      </w:tr>
    </w:tbl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выполнения проекта:</w:t>
      </w:r>
    </w:p>
    <w:p>
      <w:pPr>
        <w:pStyle w:val="af3"/>
        <w:ind w:left="426"/>
        <w:jc w:val="bot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Заинтересованность и желание детей играть в развивающие игры, сделанные своими руками.</w:t>
      </w:r>
    </w:p>
    <w:p>
      <w:pPr>
        <w:pStyle w:val="af3"/>
        <w:ind w:left="426"/>
        <w:jc w:val="bot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родителей в изготовлении игр для выставки и дальнейшего применения в игровой деятельности детей.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Игры, изготовленные родителями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3299460</wp:posOffset>
            </wp:positionH>
            <wp:positionV relativeFrom="paragraph">
              <wp:posOffset>4237990</wp:posOffset>
            </wp:positionV>
            <wp:extent cx="2962275" cy="2221230"/>
            <wp:effectExtent l="0" t="0" r="0" b="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behindDoc="0" locked="0" layoutInCell="1" simplePos="0" relativeHeight="251658240" allowOverlap="1" hidden="0">
            <wp:simplePos x="0" y="0"/>
            <wp:positionH relativeFrom="column">
              <wp:posOffset>31750</wp:posOffset>
            </wp:positionH>
            <wp:positionV relativeFrom="paragraph">
              <wp:posOffset>4240530</wp:posOffset>
            </wp:positionV>
            <wp:extent cx="2606675" cy="1952625"/>
            <wp:effectExtent l="0" t="0" r="0" b="0"/>
            <wp:wrapThrough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hrough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26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79560" cy="4108741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560" cy="410874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lang w:eastAsia="ru-RU"/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behindDoc="0" locked="0" layoutInCell="1" simplePos="0" relativeHeight="251660288" allowOverlap="1" hidden="0">
            <wp:simplePos x="0" y="0"/>
            <wp:positionH relativeFrom="column">
              <wp:posOffset>1400810</wp:posOffset>
            </wp:positionH>
            <wp:positionV relativeFrom="paragraph">
              <wp:posOffset>213360</wp:posOffset>
            </wp:positionV>
            <wp:extent cx="3152775" cy="2202815"/>
            <wp:effectExtent l="0" t="0" r="0" b="0"/>
            <wp:wrapSquare wrapText="bothSides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0281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/>
          <w:sz w:val="44"/>
          <w:szCs w:val="44"/>
        </w:rPr>
      </w:pPr>
    </w:p>
    <w:p>
      <w:pPr>
        <w:jc w:val="right"/>
        <w:rPr>
          <w:rFonts w:ascii="Times New Roman" w:hAnsi="Times New Roman" w:cs="Times New Roman"/>
          <w:sz w:val="44"/>
          <w:szCs w:val="44"/>
        </w:rPr>
      </w:pPr>
    </w:p>
    <w:p>
      <w:pPr>
        <w:rPr>
          <w:rFonts w:ascii="Times New Roman" w:hAnsi="Times New Roman" w:cs="Times New Roman"/>
          <w:sz w:val="44"/>
          <w:szCs w:val="44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f73c0b"/>
    <w:multiLevelType w:val="hybridMultilevel"/>
    <w:tmpl w:val="71880d70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1b775c"/>
    <w:multiLevelType w:val="hybridMultilevel"/>
    <w:tmpl w:val="c9a4389e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f6005"/>
    <w:multiLevelType w:val="hybridMultilevel"/>
    <w:tmpl w:val="b68cc4ec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a6c8b"/>
    <w:multiLevelType w:val="hybridMultilevel"/>
    <w:tmpl w:val="ba98c864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066d5"/>
    <w:multiLevelType w:val="hybridMultilevel"/>
    <w:tmpl w:val="6994ad9c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  <w:style w:type="table" w:styleId="afffff1">
    <w:name w:val="Table Grid"/>
    <w:basedOn w:val="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1"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numbering" Target="numbering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*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elena</cp:lastModifiedBy>
  <cp:revision>1</cp:revision>
  <dcterms:created xsi:type="dcterms:W3CDTF">2014-12-06T10:32:00Z</dcterms:created>
  <dcterms:modified xsi:type="dcterms:W3CDTF">2021-02-21T19:00:51Z</dcterms:modified>
  <cp:lastPrinted>2015-10-12T17:50:00Z</cp:lastPrinted>
  <cp:version>0900.0100.01</cp:version>
</cp:coreProperties>
</file>